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6AC2" w:rsidRPr="000567AF" w:rsidRDefault="00D94C43" w:rsidP="000567AF">
      <w:pPr>
        <w:pStyle w:val="Normal1"/>
        <w:spacing w:after="0"/>
        <w:contextualSpacing w:val="0"/>
        <w:rPr>
          <w:sz w:val="24"/>
          <w:szCs w:val="24"/>
        </w:rPr>
      </w:pPr>
      <w:r w:rsidRPr="000567AF">
        <w:rPr>
          <w:sz w:val="24"/>
          <w:szCs w:val="24"/>
        </w:rPr>
        <w:t>-</w:t>
      </w: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jc w:val="center"/>
        <w:rPr>
          <w:b/>
          <w:sz w:val="24"/>
          <w:szCs w:val="24"/>
        </w:rPr>
      </w:pPr>
    </w:p>
    <w:p w:rsidR="00756AC2" w:rsidRPr="000567AF" w:rsidRDefault="00541507" w:rsidP="000567AF">
      <w:pPr>
        <w:pStyle w:val="Normal1"/>
        <w:spacing w:after="0"/>
        <w:contextualSpacing w:val="0"/>
        <w:jc w:val="center"/>
        <w:rPr>
          <w:b/>
          <w:sz w:val="28"/>
          <w:szCs w:val="28"/>
        </w:rPr>
      </w:pPr>
      <w:r w:rsidRPr="000567AF">
        <w:rPr>
          <w:b/>
          <w:sz w:val="28"/>
          <w:szCs w:val="28"/>
        </w:rPr>
        <w:t>GUILHERME CAMPOS SIMÕES</w:t>
      </w: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E04A2A" w:rsidRPr="000567AF" w:rsidRDefault="00E04A2A"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tabs>
          <w:tab w:val="left" w:pos="6105"/>
        </w:tabs>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541507" w:rsidP="000567AF">
      <w:pPr>
        <w:pStyle w:val="Normal1"/>
        <w:spacing w:after="0"/>
        <w:contextualSpacing w:val="0"/>
        <w:jc w:val="center"/>
        <w:rPr>
          <w:b/>
          <w:smallCaps/>
          <w:sz w:val="32"/>
          <w:szCs w:val="32"/>
        </w:rPr>
      </w:pPr>
      <w:r w:rsidRPr="000567AF">
        <w:rPr>
          <w:b/>
          <w:smallCaps/>
          <w:sz w:val="32"/>
          <w:szCs w:val="32"/>
        </w:rPr>
        <w:t xml:space="preserve">SIMULAÇÃO X REALIDADE: A PRECISÃO DO BOLETIM </w:t>
      </w:r>
      <w:r w:rsidRPr="000567AF">
        <w:rPr>
          <w:b/>
          <w:i/>
          <w:smallCaps/>
          <w:sz w:val="32"/>
          <w:szCs w:val="32"/>
        </w:rPr>
        <w:t>FOCUS</w:t>
      </w:r>
      <w:r w:rsidRPr="000567AF">
        <w:rPr>
          <w:b/>
          <w:smallCaps/>
          <w:sz w:val="32"/>
          <w:szCs w:val="32"/>
        </w:rPr>
        <w:t xml:space="preserve"> PARA ESTIMATIVAS DA </w:t>
      </w:r>
      <w:r w:rsidR="000567AF" w:rsidRPr="000567AF">
        <w:rPr>
          <w:b/>
          <w:sz w:val="32"/>
          <w:szCs w:val="32"/>
        </w:rPr>
        <w:t>INFLAÇÃO E TAXA BÁSICA</w:t>
      </w:r>
      <w:r w:rsidR="000567AF" w:rsidRPr="000567AF">
        <w:rPr>
          <w:b/>
          <w:smallCaps/>
          <w:sz w:val="32"/>
          <w:szCs w:val="32"/>
        </w:rPr>
        <w:t xml:space="preserve"> </w:t>
      </w:r>
      <w:r w:rsidRPr="000567AF">
        <w:rPr>
          <w:b/>
          <w:smallCaps/>
          <w:sz w:val="32"/>
          <w:szCs w:val="32"/>
        </w:rPr>
        <w:t>DE JUROS</w:t>
      </w:r>
    </w:p>
    <w:p w:rsidR="00756AC2" w:rsidRPr="000567AF" w:rsidRDefault="00756AC2" w:rsidP="000567AF">
      <w:pPr>
        <w:pStyle w:val="Normal1"/>
        <w:spacing w:after="0"/>
        <w:contextualSpacing w:val="0"/>
        <w:jc w:val="center"/>
        <w:rPr>
          <w:sz w:val="32"/>
          <w:szCs w:val="32"/>
        </w:rPr>
      </w:pPr>
    </w:p>
    <w:p w:rsidR="00756AC2" w:rsidRPr="000567AF" w:rsidRDefault="00756AC2" w:rsidP="000567AF">
      <w:pPr>
        <w:pStyle w:val="Normal1"/>
        <w:spacing w:after="0"/>
        <w:contextualSpacing w:val="0"/>
        <w:rPr>
          <w:sz w:val="32"/>
          <w:szCs w:val="32"/>
        </w:rPr>
      </w:pPr>
    </w:p>
    <w:p w:rsidR="00756AC2" w:rsidRPr="000567AF" w:rsidRDefault="00756AC2" w:rsidP="000567AF">
      <w:pPr>
        <w:pStyle w:val="Normal1"/>
        <w:spacing w:after="0"/>
        <w:contextualSpacing w:val="0"/>
        <w:jc w:val="right"/>
        <w:rPr>
          <w:sz w:val="24"/>
          <w:szCs w:val="24"/>
        </w:rPr>
      </w:pPr>
    </w:p>
    <w:p w:rsidR="003A4474" w:rsidRPr="000567AF" w:rsidRDefault="003A4474" w:rsidP="000567AF">
      <w:pPr>
        <w:pStyle w:val="Normal1"/>
        <w:spacing w:after="0"/>
        <w:contextualSpacing w:val="0"/>
        <w:jc w:val="right"/>
        <w:rPr>
          <w:sz w:val="24"/>
          <w:szCs w:val="24"/>
        </w:rPr>
      </w:pPr>
    </w:p>
    <w:p w:rsidR="003A4474" w:rsidRPr="000567AF" w:rsidRDefault="003A4474" w:rsidP="000567AF">
      <w:pPr>
        <w:pStyle w:val="Normal1"/>
        <w:spacing w:after="0"/>
        <w:contextualSpacing w:val="0"/>
        <w:jc w:val="right"/>
        <w:rPr>
          <w:sz w:val="24"/>
          <w:szCs w:val="24"/>
        </w:rPr>
      </w:pPr>
    </w:p>
    <w:p w:rsidR="00E04A2A" w:rsidRPr="000567AF" w:rsidRDefault="00E04A2A" w:rsidP="000567AF">
      <w:pPr>
        <w:pStyle w:val="Normal1"/>
        <w:spacing w:after="0"/>
        <w:contextualSpacing w:val="0"/>
        <w:jc w:val="right"/>
        <w:rPr>
          <w:sz w:val="24"/>
          <w:szCs w:val="24"/>
        </w:rPr>
      </w:pPr>
    </w:p>
    <w:p w:rsidR="00E04A2A" w:rsidRPr="000567AF" w:rsidRDefault="00E04A2A" w:rsidP="000567AF">
      <w:pPr>
        <w:pStyle w:val="Normal1"/>
        <w:spacing w:after="0"/>
        <w:contextualSpacing w:val="0"/>
        <w:jc w:val="right"/>
        <w:rPr>
          <w:sz w:val="24"/>
          <w:szCs w:val="24"/>
        </w:rPr>
      </w:pPr>
    </w:p>
    <w:p w:rsidR="00756AC2" w:rsidRPr="000567AF" w:rsidRDefault="00756AC2" w:rsidP="000567AF">
      <w:pPr>
        <w:pStyle w:val="Normal1"/>
        <w:spacing w:after="0"/>
        <w:contextualSpacing w:val="0"/>
        <w:jc w:val="right"/>
        <w:rPr>
          <w:sz w:val="24"/>
          <w:szCs w:val="24"/>
        </w:rPr>
      </w:pPr>
    </w:p>
    <w:p w:rsidR="00756AC2" w:rsidRPr="000567AF" w:rsidRDefault="00756AC2" w:rsidP="000567AF">
      <w:pPr>
        <w:pStyle w:val="Normal1"/>
        <w:spacing w:after="0"/>
        <w:contextualSpacing w:val="0"/>
        <w:jc w:val="right"/>
        <w:rPr>
          <w:sz w:val="24"/>
          <w:szCs w:val="24"/>
        </w:rPr>
      </w:pPr>
    </w:p>
    <w:p w:rsidR="00756AC2" w:rsidRPr="000567AF" w:rsidRDefault="00541507" w:rsidP="000567AF">
      <w:pPr>
        <w:pStyle w:val="Normal1"/>
        <w:spacing w:after="0"/>
        <w:contextualSpacing w:val="0"/>
        <w:jc w:val="center"/>
        <w:rPr>
          <w:b/>
          <w:sz w:val="28"/>
          <w:szCs w:val="28"/>
        </w:rPr>
      </w:pPr>
      <w:r w:rsidRPr="000567AF">
        <w:rPr>
          <w:b/>
          <w:sz w:val="28"/>
          <w:szCs w:val="28"/>
        </w:rPr>
        <w:t>LAVRAS - MG</w:t>
      </w:r>
    </w:p>
    <w:p w:rsidR="00756AC2" w:rsidRPr="000567AF" w:rsidRDefault="00541507" w:rsidP="000567AF">
      <w:pPr>
        <w:pStyle w:val="Normal1"/>
        <w:spacing w:after="0"/>
        <w:contextualSpacing w:val="0"/>
        <w:jc w:val="center"/>
        <w:rPr>
          <w:b/>
          <w:sz w:val="28"/>
          <w:szCs w:val="28"/>
        </w:rPr>
        <w:sectPr w:rsidR="00756AC2" w:rsidRPr="000567AF" w:rsidSect="000567AF">
          <w:headerReference w:type="even" r:id="rId8"/>
          <w:headerReference w:type="default" r:id="rId9"/>
          <w:footerReference w:type="default" r:id="rId10"/>
          <w:pgSz w:w="12240" w:h="15840"/>
          <w:pgMar w:top="1701" w:right="1134" w:bottom="1134" w:left="1701" w:header="1871" w:footer="1871" w:gutter="0"/>
          <w:pgNumType w:start="1"/>
          <w:cols w:space="720"/>
        </w:sectPr>
      </w:pPr>
      <w:r w:rsidRPr="000567AF">
        <w:rPr>
          <w:b/>
          <w:sz w:val="28"/>
          <w:szCs w:val="28"/>
        </w:rPr>
        <w:t>201</w:t>
      </w:r>
      <w:r w:rsidR="004B4129" w:rsidRPr="000567AF">
        <w:rPr>
          <w:b/>
          <w:sz w:val="28"/>
          <w:szCs w:val="28"/>
        </w:rPr>
        <w:t>9</w:t>
      </w:r>
      <w:r w:rsidRPr="000567AF">
        <w:br w:type="page"/>
      </w:r>
    </w:p>
    <w:p w:rsidR="00756AC2" w:rsidRPr="000567AF" w:rsidRDefault="00541507" w:rsidP="000567AF">
      <w:pPr>
        <w:pStyle w:val="Normal1"/>
        <w:spacing w:after="0"/>
        <w:contextualSpacing w:val="0"/>
        <w:jc w:val="center"/>
        <w:rPr>
          <w:b/>
          <w:sz w:val="24"/>
          <w:szCs w:val="24"/>
        </w:rPr>
      </w:pPr>
      <w:r w:rsidRPr="000567AF">
        <w:rPr>
          <w:b/>
          <w:sz w:val="24"/>
          <w:szCs w:val="24"/>
        </w:rPr>
        <w:lastRenderedPageBreak/>
        <w:t>GUILHERME CAMPOS SIMÕES</w:t>
      </w:r>
    </w:p>
    <w:p w:rsidR="00756AC2" w:rsidRPr="000567AF" w:rsidRDefault="00756AC2" w:rsidP="000567AF">
      <w:pPr>
        <w:pStyle w:val="Normal1"/>
        <w:spacing w:after="0"/>
        <w:contextualSpacing w:val="0"/>
      </w:pPr>
    </w:p>
    <w:p w:rsidR="00756AC2" w:rsidRPr="000567AF" w:rsidRDefault="00756AC2" w:rsidP="000567AF">
      <w:pPr>
        <w:pStyle w:val="Normal1"/>
        <w:spacing w:after="0"/>
        <w:contextualSpacing w:val="0"/>
      </w:pPr>
    </w:p>
    <w:p w:rsidR="00756AC2" w:rsidRPr="000567AF" w:rsidRDefault="00756AC2" w:rsidP="000567AF">
      <w:pPr>
        <w:pStyle w:val="Normal1"/>
        <w:tabs>
          <w:tab w:val="left" w:pos="6105"/>
        </w:tabs>
        <w:spacing w:after="0"/>
        <w:contextualSpacing w:val="0"/>
      </w:pPr>
    </w:p>
    <w:p w:rsidR="00756AC2" w:rsidRPr="000567AF" w:rsidRDefault="00756AC2" w:rsidP="000567AF">
      <w:pPr>
        <w:pStyle w:val="Normal1"/>
        <w:spacing w:after="0"/>
        <w:contextualSpacing w:val="0"/>
      </w:pPr>
    </w:p>
    <w:p w:rsidR="00756AC2" w:rsidRPr="000567AF" w:rsidRDefault="00756AC2" w:rsidP="000567AF">
      <w:pPr>
        <w:pStyle w:val="Normal1"/>
        <w:spacing w:after="0"/>
        <w:contextualSpacing w:val="0"/>
      </w:pPr>
    </w:p>
    <w:p w:rsidR="000567AF" w:rsidRPr="000567AF" w:rsidRDefault="000567AF" w:rsidP="000567AF">
      <w:pPr>
        <w:pStyle w:val="Normal1"/>
        <w:spacing w:after="0"/>
        <w:contextualSpacing w:val="0"/>
        <w:jc w:val="center"/>
        <w:rPr>
          <w:b/>
          <w:smallCaps/>
          <w:sz w:val="28"/>
          <w:szCs w:val="32"/>
        </w:rPr>
      </w:pPr>
      <w:r w:rsidRPr="000567AF">
        <w:rPr>
          <w:b/>
          <w:smallCaps/>
          <w:sz w:val="28"/>
          <w:szCs w:val="32"/>
        </w:rPr>
        <w:t xml:space="preserve">SIMULAÇÃO X REALIDADE: A PRECISÃO DO BOLETIM </w:t>
      </w:r>
      <w:r w:rsidRPr="000567AF">
        <w:rPr>
          <w:b/>
          <w:i/>
          <w:smallCaps/>
          <w:sz w:val="28"/>
          <w:szCs w:val="32"/>
        </w:rPr>
        <w:t>FOCUS</w:t>
      </w:r>
      <w:r w:rsidRPr="000567AF">
        <w:rPr>
          <w:b/>
          <w:smallCaps/>
          <w:sz w:val="28"/>
          <w:szCs w:val="32"/>
        </w:rPr>
        <w:t xml:space="preserve"> PARA ESTIMATIVAS DA </w:t>
      </w:r>
      <w:r w:rsidRPr="000567AF">
        <w:rPr>
          <w:b/>
          <w:sz w:val="28"/>
          <w:szCs w:val="32"/>
        </w:rPr>
        <w:t>INFLAÇÃO E TAXA BÁSICA</w:t>
      </w:r>
      <w:r w:rsidRPr="000567AF">
        <w:rPr>
          <w:b/>
          <w:smallCaps/>
          <w:sz w:val="28"/>
          <w:szCs w:val="32"/>
        </w:rPr>
        <w:t xml:space="preserve"> DE JUROS</w:t>
      </w:r>
    </w:p>
    <w:p w:rsidR="00756AC2" w:rsidRPr="000567AF" w:rsidRDefault="00756AC2" w:rsidP="000567AF">
      <w:pPr>
        <w:pStyle w:val="Normal1"/>
        <w:spacing w:after="0"/>
        <w:contextualSpacing w:val="0"/>
        <w:jc w:val="center"/>
        <w:rPr>
          <w:sz w:val="32"/>
          <w:szCs w:val="32"/>
        </w:rPr>
      </w:pPr>
    </w:p>
    <w:p w:rsidR="00756AC2" w:rsidRPr="000567AF" w:rsidRDefault="00756AC2" w:rsidP="000567AF">
      <w:pPr>
        <w:pStyle w:val="Normal1"/>
        <w:spacing w:after="0"/>
        <w:contextualSpacing w:val="0"/>
        <w:jc w:val="right"/>
        <w:rPr>
          <w:sz w:val="24"/>
          <w:szCs w:val="24"/>
        </w:rPr>
      </w:pPr>
    </w:p>
    <w:p w:rsidR="00E04A2A" w:rsidRPr="000567AF" w:rsidRDefault="00E04A2A" w:rsidP="000567AF">
      <w:pPr>
        <w:pStyle w:val="Normal1"/>
        <w:spacing w:after="0"/>
        <w:contextualSpacing w:val="0"/>
        <w:jc w:val="right"/>
        <w:rPr>
          <w:sz w:val="24"/>
          <w:szCs w:val="24"/>
        </w:rPr>
      </w:pPr>
    </w:p>
    <w:p w:rsidR="00756AC2" w:rsidRPr="000567AF" w:rsidRDefault="00541507" w:rsidP="000567AF">
      <w:pPr>
        <w:pStyle w:val="Normal1"/>
        <w:spacing w:after="0"/>
        <w:ind w:left="5245" w:right="49"/>
        <w:contextualSpacing w:val="0"/>
      </w:pPr>
      <w:r w:rsidRPr="000567AF">
        <w:t>Trabalho de conclusão de curso apresentado ao Centro Universitário de Lavras como parte das exigências para obtenção do título de Especialista em Gestão Financeira.</w:t>
      </w:r>
    </w:p>
    <w:p w:rsidR="00756AC2" w:rsidRPr="000567AF" w:rsidRDefault="00756AC2" w:rsidP="000567AF">
      <w:pPr>
        <w:pStyle w:val="Normal1"/>
        <w:spacing w:after="0"/>
        <w:contextualSpacing w:val="0"/>
        <w:jc w:val="right"/>
        <w:rPr>
          <w:sz w:val="24"/>
          <w:szCs w:val="24"/>
        </w:rPr>
      </w:pPr>
    </w:p>
    <w:p w:rsidR="00E04A2A" w:rsidRPr="000567AF" w:rsidRDefault="00E04A2A" w:rsidP="000567AF">
      <w:pPr>
        <w:pStyle w:val="Normal1"/>
        <w:spacing w:after="0"/>
        <w:contextualSpacing w:val="0"/>
        <w:jc w:val="right"/>
        <w:rPr>
          <w:sz w:val="24"/>
          <w:szCs w:val="24"/>
        </w:rPr>
      </w:pPr>
    </w:p>
    <w:p w:rsidR="00756AC2" w:rsidRPr="000567AF" w:rsidRDefault="00756AC2" w:rsidP="000567AF">
      <w:pPr>
        <w:pStyle w:val="Normal1"/>
        <w:spacing w:after="0"/>
        <w:contextualSpacing w:val="0"/>
        <w:jc w:val="center"/>
        <w:rPr>
          <w:sz w:val="24"/>
          <w:szCs w:val="24"/>
        </w:rPr>
      </w:pPr>
    </w:p>
    <w:p w:rsidR="00756AC2" w:rsidRPr="000567AF" w:rsidRDefault="00756AC2" w:rsidP="000567AF">
      <w:pPr>
        <w:pStyle w:val="Normal1"/>
        <w:spacing w:after="0"/>
        <w:contextualSpacing w:val="0"/>
        <w:jc w:val="center"/>
        <w:rPr>
          <w:sz w:val="24"/>
          <w:szCs w:val="24"/>
        </w:rPr>
      </w:pPr>
    </w:p>
    <w:p w:rsidR="00756AC2" w:rsidRPr="000567AF" w:rsidRDefault="00541507" w:rsidP="000567AF">
      <w:pPr>
        <w:pStyle w:val="Normal1"/>
        <w:tabs>
          <w:tab w:val="left" w:pos="1134"/>
          <w:tab w:val="left" w:pos="2835"/>
          <w:tab w:val="left" w:pos="2977"/>
          <w:tab w:val="left" w:pos="3119"/>
        </w:tabs>
        <w:spacing w:after="0"/>
        <w:contextualSpacing w:val="0"/>
        <w:jc w:val="center"/>
      </w:pPr>
      <w:r w:rsidRPr="000567AF">
        <w:t>Orientador</w:t>
      </w:r>
    </w:p>
    <w:p w:rsidR="00756AC2" w:rsidRPr="000567AF" w:rsidRDefault="00541507" w:rsidP="000567AF">
      <w:pPr>
        <w:pStyle w:val="Normal1"/>
        <w:tabs>
          <w:tab w:val="left" w:pos="1134"/>
          <w:tab w:val="left" w:pos="3686"/>
        </w:tabs>
        <w:spacing w:after="0"/>
        <w:contextualSpacing w:val="0"/>
        <w:jc w:val="center"/>
      </w:pPr>
      <w:r w:rsidRPr="000567AF">
        <w:t>Prof. Richardson Coimbra Borges, Dr.</w:t>
      </w:r>
    </w:p>
    <w:p w:rsidR="00756AC2" w:rsidRPr="000567AF" w:rsidRDefault="00756AC2" w:rsidP="000567AF">
      <w:pPr>
        <w:pStyle w:val="Normal1"/>
        <w:spacing w:after="0"/>
        <w:contextualSpacing w:val="0"/>
        <w:jc w:val="right"/>
        <w:rPr>
          <w:sz w:val="24"/>
          <w:szCs w:val="24"/>
        </w:rPr>
      </w:pPr>
    </w:p>
    <w:p w:rsidR="00756AC2" w:rsidRPr="000567AF" w:rsidRDefault="00756AC2" w:rsidP="000567AF">
      <w:pPr>
        <w:pStyle w:val="Normal1"/>
        <w:spacing w:after="0"/>
        <w:contextualSpacing w:val="0"/>
        <w:jc w:val="right"/>
        <w:rPr>
          <w:sz w:val="24"/>
          <w:szCs w:val="24"/>
        </w:rPr>
      </w:pPr>
    </w:p>
    <w:p w:rsidR="00756AC2" w:rsidRPr="000567AF" w:rsidRDefault="00756AC2" w:rsidP="000567AF">
      <w:pPr>
        <w:pStyle w:val="Normal1"/>
        <w:spacing w:after="0"/>
        <w:contextualSpacing w:val="0"/>
        <w:jc w:val="center"/>
        <w:rPr>
          <w:b/>
        </w:rPr>
      </w:pPr>
    </w:p>
    <w:p w:rsidR="00756AC2" w:rsidRPr="000567AF" w:rsidRDefault="00541507" w:rsidP="000567AF">
      <w:pPr>
        <w:pStyle w:val="Normal1"/>
        <w:spacing w:after="0"/>
        <w:contextualSpacing w:val="0"/>
        <w:jc w:val="center"/>
        <w:rPr>
          <w:b/>
        </w:rPr>
      </w:pPr>
      <w:r w:rsidRPr="000567AF">
        <w:rPr>
          <w:b/>
        </w:rPr>
        <w:t>LAVRAS – MG</w:t>
      </w:r>
    </w:p>
    <w:p w:rsidR="00756AC2" w:rsidRPr="000567AF" w:rsidRDefault="00541507" w:rsidP="000567AF">
      <w:pPr>
        <w:pStyle w:val="Normal1"/>
        <w:spacing w:after="0"/>
        <w:contextualSpacing w:val="0"/>
        <w:jc w:val="center"/>
        <w:rPr>
          <w:b/>
        </w:rPr>
      </w:pPr>
      <w:r w:rsidRPr="000567AF">
        <w:rPr>
          <w:b/>
        </w:rPr>
        <w:t>201</w:t>
      </w:r>
      <w:r w:rsidR="004B4129" w:rsidRPr="000567AF">
        <w:rPr>
          <w:b/>
        </w:rPr>
        <w:t>9</w:t>
      </w:r>
    </w:p>
    <w:p w:rsidR="00756AC2" w:rsidRPr="000567AF" w:rsidRDefault="00756AC2" w:rsidP="000567AF">
      <w:pPr>
        <w:pStyle w:val="Normal1"/>
        <w:spacing w:after="0"/>
        <w:contextualSpacing w:val="0"/>
        <w:jc w:val="center"/>
        <w:rPr>
          <w:b/>
        </w:rPr>
      </w:pPr>
    </w:p>
    <w:tbl>
      <w:tblPr>
        <w:tblStyle w:val="a"/>
        <w:tblW w:w="12300" w:type="dxa"/>
        <w:tblInd w:w="-2542" w:type="dxa"/>
        <w:tblLayout w:type="fixed"/>
        <w:tblLook w:val="0400"/>
      </w:tblPr>
      <w:tblGrid>
        <w:gridCol w:w="2540"/>
        <w:gridCol w:w="9358"/>
        <w:gridCol w:w="402"/>
      </w:tblGrid>
      <w:tr w:rsidR="00756AC2" w:rsidRPr="000567AF" w:rsidTr="00E62716">
        <w:trPr>
          <w:trHeight w:val="620"/>
        </w:trPr>
        <w:tc>
          <w:tcPr>
            <w:tcW w:w="2540" w:type="dxa"/>
          </w:tcPr>
          <w:p w:rsidR="00756AC2" w:rsidRPr="000567AF" w:rsidRDefault="00541507" w:rsidP="000567AF">
            <w:pPr>
              <w:pStyle w:val="Normal1"/>
              <w:spacing w:after="0"/>
              <w:contextualSpacing w:val="0"/>
              <w:jc w:val="center"/>
              <w:rPr>
                <w:sz w:val="24"/>
                <w:szCs w:val="24"/>
              </w:rPr>
            </w:pPr>
            <w:r w:rsidRPr="000567AF">
              <w:rPr>
                <w:sz w:val="24"/>
                <w:szCs w:val="24"/>
              </w:rPr>
              <w:lastRenderedPageBreak/>
              <w:br w:type="page"/>
            </w:r>
          </w:p>
        </w:tc>
        <w:tc>
          <w:tcPr>
            <w:tcW w:w="9358" w:type="dxa"/>
            <w:tcMar>
              <w:top w:w="0" w:type="dxa"/>
              <w:left w:w="0" w:type="dxa"/>
              <w:bottom w:w="0" w:type="dxa"/>
              <w:right w:w="0" w:type="dxa"/>
            </w:tcMar>
          </w:tcPr>
          <w:p w:rsidR="00756AC2" w:rsidRPr="000567AF" w:rsidRDefault="00541507" w:rsidP="000567AF">
            <w:pPr>
              <w:pStyle w:val="Normal1"/>
              <w:spacing w:after="0"/>
              <w:contextualSpacing w:val="0"/>
              <w:jc w:val="center"/>
              <w:rPr>
                <w:b/>
                <w:sz w:val="24"/>
                <w:szCs w:val="24"/>
              </w:rPr>
            </w:pPr>
            <w:r w:rsidRPr="000567AF">
              <w:rPr>
                <w:b/>
                <w:sz w:val="24"/>
                <w:szCs w:val="24"/>
              </w:rPr>
              <w:t>GUILHERME CAMPOS SIMÕES</w:t>
            </w: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E62716" w:rsidRPr="000567AF" w:rsidRDefault="00E62716" w:rsidP="000567AF">
            <w:pPr>
              <w:pStyle w:val="Normal1"/>
              <w:spacing w:after="0"/>
              <w:contextualSpacing w:val="0"/>
              <w:rPr>
                <w:sz w:val="24"/>
                <w:szCs w:val="24"/>
              </w:rPr>
            </w:pPr>
          </w:p>
          <w:p w:rsidR="00E62716" w:rsidRPr="000567AF" w:rsidRDefault="00E62716" w:rsidP="000567AF">
            <w:pPr>
              <w:pStyle w:val="Normal1"/>
              <w:spacing w:after="0"/>
              <w:contextualSpacing w:val="0"/>
              <w:rPr>
                <w:sz w:val="24"/>
                <w:szCs w:val="24"/>
              </w:rPr>
            </w:pPr>
          </w:p>
          <w:p w:rsidR="000567AF" w:rsidRPr="000567AF" w:rsidRDefault="000567AF" w:rsidP="000567AF">
            <w:pPr>
              <w:pStyle w:val="Normal1"/>
              <w:spacing w:after="0"/>
              <w:contextualSpacing w:val="0"/>
              <w:jc w:val="center"/>
              <w:rPr>
                <w:b/>
                <w:smallCaps/>
                <w:sz w:val="24"/>
                <w:szCs w:val="24"/>
              </w:rPr>
            </w:pPr>
            <w:r w:rsidRPr="000567AF">
              <w:rPr>
                <w:b/>
                <w:smallCaps/>
                <w:sz w:val="24"/>
                <w:szCs w:val="24"/>
              </w:rPr>
              <w:t xml:space="preserve">SIMULAÇÃO X REALIDADE: A PRECISÃO DO BOLETIM </w:t>
            </w:r>
            <w:r w:rsidRPr="000567AF">
              <w:rPr>
                <w:b/>
                <w:i/>
                <w:smallCaps/>
                <w:sz w:val="24"/>
                <w:szCs w:val="24"/>
              </w:rPr>
              <w:t>FOCUS</w:t>
            </w:r>
            <w:r w:rsidRPr="000567AF">
              <w:rPr>
                <w:b/>
                <w:smallCaps/>
                <w:sz w:val="24"/>
                <w:szCs w:val="24"/>
              </w:rPr>
              <w:t xml:space="preserve"> PARA ESTIMATIVAS DA </w:t>
            </w:r>
            <w:r w:rsidRPr="000567AF">
              <w:rPr>
                <w:b/>
                <w:sz w:val="24"/>
                <w:szCs w:val="24"/>
              </w:rPr>
              <w:t>INFLAÇÃO E TAXA BÁSICA</w:t>
            </w:r>
            <w:r w:rsidRPr="000567AF">
              <w:rPr>
                <w:b/>
                <w:smallCaps/>
                <w:sz w:val="24"/>
                <w:szCs w:val="24"/>
              </w:rPr>
              <w:t xml:space="preserve"> DE JUROS</w:t>
            </w:r>
          </w:p>
          <w:p w:rsidR="00756AC2" w:rsidRPr="000567AF" w:rsidRDefault="00756AC2" w:rsidP="000567AF">
            <w:pPr>
              <w:pStyle w:val="Normal1"/>
              <w:spacing w:after="0"/>
              <w:contextualSpacing w:val="0"/>
              <w:jc w:val="center"/>
              <w:rPr>
                <w:b/>
                <w:smallCaps/>
                <w:sz w:val="24"/>
                <w:szCs w:val="24"/>
              </w:rPr>
            </w:pPr>
          </w:p>
          <w:p w:rsidR="00E62716" w:rsidRPr="000567AF" w:rsidRDefault="00E62716" w:rsidP="000567AF">
            <w:pPr>
              <w:pStyle w:val="Normal1"/>
              <w:spacing w:after="0"/>
              <w:ind w:left="3544"/>
              <w:contextualSpacing w:val="0"/>
              <w:rPr>
                <w:sz w:val="24"/>
                <w:szCs w:val="24"/>
              </w:rPr>
            </w:pPr>
          </w:p>
          <w:p w:rsidR="00E62716" w:rsidRPr="000567AF" w:rsidRDefault="00E62716" w:rsidP="000567AF">
            <w:pPr>
              <w:pStyle w:val="Normal1"/>
              <w:spacing w:after="0"/>
              <w:ind w:left="3544"/>
              <w:contextualSpacing w:val="0"/>
              <w:rPr>
                <w:sz w:val="24"/>
                <w:szCs w:val="24"/>
              </w:rPr>
            </w:pPr>
          </w:p>
          <w:p w:rsidR="00756AC2" w:rsidRPr="000567AF" w:rsidRDefault="00541507" w:rsidP="000567AF">
            <w:pPr>
              <w:pStyle w:val="Normal1"/>
              <w:spacing w:after="0"/>
              <w:ind w:left="5252"/>
              <w:contextualSpacing w:val="0"/>
              <w:rPr>
                <w:sz w:val="24"/>
                <w:szCs w:val="24"/>
              </w:rPr>
            </w:pPr>
            <w:r w:rsidRPr="000567AF">
              <w:rPr>
                <w:sz w:val="24"/>
                <w:szCs w:val="24"/>
              </w:rPr>
              <w:t>Trabalho de conclusão de curso apresentado ao Centro Universitário de Lavras como parte das exigências para obtenção do título de Especialista em Gestão Financeira.</w:t>
            </w:r>
          </w:p>
          <w:p w:rsidR="00756AC2" w:rsidRPr="000567AF" w:rsidRDefault="00756AC2" w:rsidP="000567AF">
            <w:pPr>
              <w:pStyle w:val="Normal1"/>
              <w:spacing w:after="0"/>
              <w:contextualSpacing w:val="0"/>
              <w:jc w:val="right"/>
              <w:rPr>
                <w:sz w:val="24"/>
                <w:szCs w:val="24"/>
              </w:rPr>
            </w:pPr>
          </w:p>
          <w:p w:rsidR="00756AC2" w:rsidRPr="000567AF" w:rsidRDefault="00756AC2" w:rsidP="000567AF">
            <w:pPr>
              <w:pStyle w:val="Normal1"/>
              <w:spacing w:after="0"/>
              <w:contextualSpacing w:val="0"/>
              <w:jc w:val="center"/>
              <w:rPr>
                <w:sz w:val="24"/>
                <w:szCs w:val="24"/>
              </w:rPr>
            </w:pPr>
          </w:p>
          <w:p w:rsidR="00756AC2" w:rsidRPr="000567AF" w:rsidRDefault="00541507" w:rsidP="000567AF">
            <w:pPr>
              <w:pStyle w:val="Normal1"/>
              <w:spacing w:after="0"/>
              <w:contextualSpacing w:val="0"/>
              <w:rPr>
                <w:sz w:val="24"/>
                <w:szCs w:val="24"/>
              </w:rPr>
            </w:pPr>
            <w:r w:rsidRPr="000567AF">
              <w:rPr>
                <w:sz w:val="24"/>
                <w:szCs w:val="24"/>
              </w:rPr>
              <w:t>APROVADA em ___ de _______________ de 201</w:t>
            </w:r>
            <w:r w:rsidR="004B4129" w:rsidRPr="000567AF">
              <w:rPr>
                <w:sz w:val="24"/>
                <w:szCs w:val="24"/>
              </w:rPr>
              <w:t>9</w:t>
            </w:r>
            <w:r w:rsidRPr="000567AF">
              <w:rPr>
                <w:sz w:val="24"/>
                <w:szCs w:val="24"/>
              </w:rPr>
              <w:t>.</w:t>
            </w:r>
          </w:p>
          <w:p w:rsidR="00756AC2" w:rsidRPr="000567AF" w:rsidRDefault="00756AC2" w:rsidP="000567AF">
            <w:pPr>
              <w:pStyle w:val="Normal1"/>
              <w:spacing w:after="0"/>
              <w:contextualSpacing w:val="0"/>
              <w:rPr>
                <w:sz w:val="24"/>
                <w:szCs w:val="24"/>
              </w:rPr>
            </w:pPr>
          </w:p>
          <w:tbl>
            <w:tblPr>
              <w:tblStyle w:val="a0"/>
              <w:tblW w:w="9100" w:type="dxa"/>
              <w:tblInd w:w="0" w:type="dxa"/>
              <w:tblLayout w:type="fixed"/>
              <w:tblLook w:val="0400"/>
            </w:tblPr>
            <w:tblGrid>
              <w:gridCol w:w="6321"/>
              <w:gridCol w:w="2779"/>
            </w:tblGrid>
            <w:tr w:rsidR="00756AC2" w:rsidRPr="000567AF" w:rsidTr="00E62716">
              <w:trPr>
                <w:trHeight w:val="299"/>
              </w:trPr>
              <w:tc>
                <w:tcPr>
                  <w:tcW w:w="6321" w:type="dxa"/>
                  <w:shd w:val="clear" w:color="auto" w:fill="auto"/>
                </w:tcPr>
                <w:p w:rsidR="00756AC2" w:rsidRPr="000567AF" w:rsidRDefault="00215D58" w:rsidP="000567AF">
                  <w:pPr>
                    <w:pStyle w:val="Normal1"/>
                    <w:spacing w:after="0"/>
                    <w:ind w:left="-115"/>
                    <w:contextualSpacing w:val="0"/>
                    <w:rPr>
                      <w:sz w:val="24"/>
                      <w:szCs w:val="24"/>
                    </w:rPr>
                  </w:pPr>
                  <w:r w:rsidRPr="000567AF">
                    <w:rPr>
                      <w:sz w:val="24"/>
                      <w:szCs w:val="24"/>
                    </w:rPr>
                    <w:t>Ms. Jairo Gustavo de Lima</w:t>
                  </w:r>
                </w:p>
              </w:tc>
              <w:tc>
                <w:tcPr>
                  <w:tcW w:w="2779" w:type="dxa"/>
                  <w:shd w:val="clear" w:color="auto" w:fill="auto"/>
                </w:tcPr>
                <w:p w:rsidR="00756AC2" w:rsidRPr="000567AF" w:rsidRDefault="00756AC2" w:rsidP="000567AF">
                  <w:pPr>
                    <w:pStyle w:val="Normal1"/>
                    <w:spacing w:after="0"/>
                    <w:ind w:left="-108"/>
                    <w:contextualSpacing w:val="0"/>
                    <w:rPr>
                      <w:sz w:val="24"/>
                      <w:szCs w:val="24"/>
                    </w:rPr>
                  </w:pPr>
                </w:p>
              </w:tc>
            </w:tr>
            <w:tr w:rsidR="00756AC2" w:rsidRPr="000567AF" w:rsidTr="00E62716">
              <w:trPr>
                <w:trHeight w:val="299"/>
              </w:trPr>
              <w:tc>
                <w:tcPr>
                  <w:tcW w:w="6321" w:type="dxa"/>
                  <w:shd w:val="clear" w:color="auto" w:fill="auto"/>
                </w:tcPr>
                <w:p w:rsidR="00756AC2" w:rsidRPr="000567AF" w:rsidRDefault="00756AC2" w:rsidP="000567AF">
                  <w:pPr>
                    <w:pStyle w:val="Normal1"/>
                    <w:spacing w:after="0"/>
                    <w:ind w:left="-115"/>
                    <w:contextualSpacing w:val="0"/>
                    <w:rPr>
                      <w:sz w:val="24"/>
                      <w:szCs w:val="24"/>
                    </w:rPr>
                  </w:pPr>
                </w:p>
              </w:tc>
              <w:tc>
                <w:tcPr>
                  <w:tcW w:w="2779" w:type="dxa"/>
                  <w:shd w:val="clear" w:color="auto" w:fill="auto"/>
                </w:tcPr>
                <w:p w:rsidR="00756AC2" w:rsidRPr="000567AF" w:rsidRDefault="00756AC2" w:rsidP="000567AF">
                  <w:pPr>
                    <w:pStyle w:val="Normal1"/>
                    <w:spacing w:after="0"/>
                    <w:ind w:left="-108"/>
                    <w:contextualSpacing w:val="0"/>
                    <w:jc w:val="left"/>
                    <w:rPr>
                      <w:sz w:val="24"/>
                      <w:szCs w:val="24"/>
                    </w:rPr>
                  </w:pPr>
                </w:p>
              </w:tc>
            </w:tr>
          </w:tbl>
          <w:p w:rsidR="00756AC2" w:rsidRPr="000567AF" w:rsidRDefault="00756AC2" w:rsidP="000567AF">
            <w:pPr>
              <w:pStyle w:val="Normal1"/>
              <w:spacing w:after="0"/>
              <w:contextualSpacing w:val="0"/>
              <w:rPr>
                <w:sz w:val="24"/>
                <w:szCs w:val="24"/>
              </w:rPr>
            </w:pPr>
          </w:p>
          <w:p w:rsidR="00756AC2" w:rsidRPr="000567AF" w:rsidRDefault="00541507" w:rsidP="000567AF">
            <w:pPr>
              <w:pStyle w:val="Normal1"/>
              <w:tabs>
                <w:tab w:val="left" w:pos="1134"/>
                <w:tab w:val="left" w:pos="3686"/>
              </w:tabs>
              <w:spacing w:after="0"/>
              <w:contextualSpacing w:val="0"/>
              <w:jc w:val="center"/>
              <w:rPr>
                <w:sz w:val="24"/>
                <w:szCs w:val="24"/>
                <w:lang w:val="en-US"/>
              </w:rPr>
            </w:pPr>
            <w:r w:rsidRPr="000567AF">
              <w:rPr>
                <w:sz w:val="24"/>
                <w:szCs w:val="24"/>
                <w:lang w:val="en-US"/>
              </w:rPr>
              <w:t>Prof. Richardson Coimbra Borges, Dr.</w:t>
            </w:r>
          </w:p>
          <w:p w:rsidR="00756AC2" w:rsidRPr="000567AF" w:rsidRDefault="00541507" w:rsidP="000567AF">
            <w:pPr>
              <w:pStyle w:val="Normal1"/>
              <w:tabs>
                <w:tab w:val="left" w:pos="1134"/>
                <w:tab w:val="left" w:pos="3686"/>
              </w:tabs>
              <w:spacing w:after="0"/>
              <w:contextualSpacing w:val="0"/>
              <w:jc w:val="center"/>
              <w:rPr>
                <w:sz w:val="24"/>
                <w:szCs w:val="24"/>
              </w:rPr>
            </w:pPr>
            <w:r w:rsidRPr="000567AF">
              <w:rPr>
                <w:sz w:val="24"/>
                <w:szCs w:val="24"/>
              </w:rPr>
              <w:t>Orientador</w:t>
            </w:r>
          </w:p>
          <w:p w:rsidR="00756AC2" w:rsidRPr="000567AF" w:rsidRDefault="00756AC2" w:rsidP="000567AF">
            <w:pPr>
              <w:pStyle w:val="Normal1"/>
              <w:spacing w:after="0"/>
              <w:contextualSpacing w:val="0"/>
              <w:jc w:val="right"/>
              <w:rPr>
                <w:sz w:val="24"/>
                <w:szCs w:val="24"/>
              </w:rPr>
            </w:pPr>
          </w:p>
          <w:p w:rsidR="00756AC2" w:rsidRPr="000567AF" w:rsidRDefault="00541507" w:rsidP="000567AF">
            <w:pPr>
              <w:pStyle w:val="Normal1"/>
              <w:spacing w:after="0"/>
              <w:contextualSpacing w:val="0"/>
              <w:jc w:val="center"/>
              <w:rPr>
                <w:b/>
                <w:sz w:val="24"/>
                <w:szCs w:val="24"/>
              </w:rPr>
            </w:pPr>
            <w:r w:rsidRPr="000567AF">
              <w:rPr>
                <w:b/>
                <w:sz w:val="24"/>
                <w:szCs w:val="24"/>
              </w:rPr>
              <w:t>LAVRAS - MG</w:t>
            </w:r>
          </w:p>
          <w:p w:rsidR="00756AC2" w:rsidRPr="000567AF" w:rsidRDefault="00541507" w:rsidP="000567AF">
            <w:pPr>
              <w:pStyle w:val="Normal1"/>
              <w:spacing w:after="0"/>
              <w:contextualSpacing w:val="0"/>
              <w:jc w:val="center"/>
              <w:rPr>
                <w:b/>
                <w:sz w:val="24"/>
                <w:szCs w:val="24"/>
              </w:rPr>
            </w:pPr>
            <w:r w:rsidRPr="000567AF">
              <w:rPr>
                <w:b/>
                <w:sz w:val="24"/>
                <w:szCs w:val="24"/>
              </w:rPr>
              <w:t>201</w:t>
            </w:r>
            <w:r w:rsidR="004B4129" w:rsidRPr="000567AF">
              <w:rPr>
                <w:b/>
                <w:sz w:val="24"/>
                <w:szCs w:val="24"/>
              </w:rPr>
              <w:t>9</w:t>
            </w:r>
          </w:p>
          <w:p w:rsidR="00F63760" w:rsidRPr="000567AF" w:rsidRDefault="00541507" w:rsidP="000567AF">
            <w:pPr>
              <w:pStyle w:val="Normal1"/>
              <w:spacing w:after="0"/>
              <w:contextualSpacing w:val="0"/>
              <w:jc w:val="center"/>
              <w:rPr>
                <w:b/>
                <w:sz w:val="24"/>
                <w:szCs w:val="24"/>
              </w:rPr>
            </w:pPr>
            <w:r w:rsidRPr="000567AF">
              <w:rPr>
                <w:b/>
                <w:sz w:val="24"/>
                <w:szCs w:val="24"/>
              </w:rPr>
              <w:lastRenderedPageBreak/>
              <w:t>RESUMO</w:t>
            </w:r>
          </w:p>
          <w:p w:rsidR="00F63760" w:rsidRPr="000567AF" w:rsidRDefault="00F63760" w:rsidP="000567AF">
            <w:pPr>
              <w:pStyle w:val="Normal1"/>
              <w:spacing w:after="0"/>
              <w:contextualSpacing w:val="0"/>
              <w:rPr>
                <w:sz w:val="24"/>
                <w:szCs w:val="24"/>
              </w:rPr>
            </w:pPr>
          </w:p>
          <w:p w:rsidR="00F63760" w:rsidRPr="000567AF" w:rsidRDefault="00F63760" w:rsidP="000567AF">
            <w:pPr>
              <w:pStyle w:val="Normal1"/>
              <w:spacing w:after="0"/>
              <w:contextualSpacing w:val="0"/>
              <w:rPr>
                <w:sz w:val="24"/>
                <w:szCs w:val="24"/>
              </w:rPr>
            </w:pPr>
            <w:r w:rsidRPr="000567AF">
              <w:rPr>
                <w:sz w:val="24"/>
                <w:szCs w:val="24"/>
              </w:rPr>
              <w:t>O Boletim Focus é o mais conhecido recurso para informar projeções semanais sobre ind</w:t>
            </w:r>
            <w:r w:rsidR="00215D58" w:rsidRPr="000567AF">
              <w:rPr>
                <w:sz w:val="24"/>
                <w:szCs w:val="24"/>
              </w:rPr>
              <w:t xml:space="preserve">icadores da economia brasileira. </w:t>
            </w:r>
            <w:r w:rsidRPr="000567AF">
              <w:rPr>
                <w:sz w:val="24"/>
                <w:szCs w:val="24"/>
              </w:rPr>
              <w:t xml:space="preserve"> </w:t>
            </w:r>
            <w:r w:rsidR="00215D58" w:rsidRPr="000567AF">
              <w:rPr>
                <w:sz w:val="24"/>
                <w:szCs w:val="24"/>
              </w:rPr>
              <w:t>Os indicadores mais conhecidos deste boletim</w:t>
            </w:r>
            <w:r w:rsidRPr="000567AF">
              <w:rPr>
                <w:sz w:val="24"/>
                <w:szCs w:val="24"/>
              </w:rPr>
              <w:t xml:space="preserve"> </w:t>
            </w:r>
            <w:r w:rsidR="00215D58" w:rsidRPr="000567AF">
              <w:rPr>
                <w:sz w:val="24"/>
                <w:szCs w:val="24"/>
              </w:rPr>
              <w:t xml:space="preserve">são </w:t>
            </w:r>
            <w:r w:rsidRPr="000567AF">
              <w:rPr>
                <w:sz w:val="24"/>
                <w:szCs w:val="24"/>
              </w:rPr>
              <w:t>o índice Geral de Preços ao Consumidor Amplo (IPCA) e a Taxa básica de juros de curto prazo – Selic</w:t>
            </w:r>
            <w:r w:rsidR="00215D58" w:rsidRPr="000567AF">
              <w:rPr>
                <w:sz w:val="24"/>
                <w:szCs w:val="24"/>
              </w:rPr>
              <w:t>, pois são indicadores que</w:t>
            </w:r>
            <w:r w:rsidR="00B051A8" w:rsidRPr="000567AF">
              <w:rPr>
                <w:sz w:val="24"/>
                <w:szCs w:val="24"/>
              </w:rPr>
              <w:t xml:space="preserve"> influenciam outras taxas e a vida do cidadão comum</w:t>
            </w:r>
            <w:r w:rsidRPr="000567AF">
              <w:rPr>
                <w:sz w:val="24"/>
                <w:szCs w:val="24"/>
              </w:rPr>
              <w:t>.</w:t>
            </w:r>
            <w:r w:rsidR="00215D58" w:rsidRPr="000567AF">
              <w:rPr>
                <w:sz w:val="24"/>
                <w:szCs w:val="24"/>
              </w:rPr>
              <w:t xml:space="preserve"> </w:t>
            </w:r>
            <w:r w:rsidR="00BC1E38" w:rsidRPr="000567AF">
              <w:rPr>
                <w:sz w:val="24"/>
                <w:szCs w:val="24"/>
              </w:rPr>
              <w:t>Nesta pesquisa</w:t>
            </w:r>
            <w:r w:rsidR="00215D58" w:rsidRPr="000567AF">
              <w:rPr>
                <w:sz w:val="24"/>
                <w:szCs w:val="24"/>
              </w:rPr>
              <w:t>,</w:t>
            </w:r>
            <w:r w:rsidR="00BC1E38" w:rsidRPr="000567AF">
              <w:rPr>
                <w:sz w:val="24"/>
                <w:szCs w:val="24"/>
              </w:rPr>
              <w:t xml:space="preserve"> analisou-se a capacidade de previsão do boletim Focus em relação ao IPCA e SELIC, por meio da apresentação e discussão de gráficos comparativos e da análise da correlação entre os dados preditivos e os números reais desses indicadores. Dessa forma, contribuiu-se com a</w:t>
            </w:r>
            <w:r w:rsidR="00B051A8" w:rsidRPr="000567AF">
              <w:rPr>
                <w:sz w:val="24"/>
                <w:szCs w:val="24"/>
              </w:rPr>
              <w:t xml:space="preserve"> literatura </w:t>
            </w:r>
            <w:r w:rsidR="00BC1E38" w:rsidRPr="000567AF">
              <w:rPr>
                <w:sz w:val="24"/>
                <w:szCs w:val="24"/>
              </w:rPr>
              <w:t xml:space="preserve">que </w:t>
            </w:r>
            <w:r w:rsidR="00B051A8" w:rsidRPr="000567AF">
              <w:rPr>
                <w:sz w:val="24"/>
                <w:szCs w:val="24"/>
              </w:rPr>
              <w:t xml:space="preserve">apresenta diversas pesquisas quantitativas que comparam essas previsões com dados reais, porém </w:t>
            </w:r>
            <w:r w:rsidR="00BC1E38" w:rsidRPr="000567AF">
              <w:rPr>
                <w:sz w:val="24"/>
                <w:szCs w:val="24"/>
              </w:rPr>
              <w:t xml:space="preserve">é </w:t>
            </w:r>
            <w:r w:rsidR="00B051A8" w:rsidRPr="000567AF">
              <w:rPr>
                <w:sz w:val="24"/>
                <w:szCs w:val="24"/>
              </w:rPr>
              <w:t xml:space="preserve">carente de pesquisas qualitativas e descritivas sobre a validade dessa previsão. </w:t>
            </w:r>
          </w:p>
          <w:p w:rsidR="00756AC2" w:rsidRPr="000567AF" w:rsidRDefault="00541507" w:rsidP="000567AF">
            <w:pPr>
              <w:pStyle w:val="Normal1"/>
              <w:spacing w:after="0"/>
              <w:contextualSpacing w:val="0"/>
              <w:rPr>
                <w:sz w:val="24"/>
                <w:szCs w:val="24"/>
              </w:rPr>
            </w:pPr>
            <w:r w:rsidRPr="000567AF">
              <w:rPr>
                <w:sz w:val="24"/>
                <w:szCs w:val="24"/>
              </w:rPr>
              <w:t xml:space="preserve">Palavras-chave: </w:t>
            </w:r>
            <w:r w:rsidR="00BC1E38" w:rsidRPr="000567AF">
              <w:rPr>
                <w:sz w:val="24"/>
                <w:szCs w:val="24"/>
              </w:rPr>
              <w:t xml:space="preserve">Focus; Selic; IPCA; Pesquisa qualitativa. </w:t>
            </w:r>
          </w:p>
          <w:p w:rsidR="00756AC2" w:rsidRPr="000567AF" w:rsidRDefault="00756AC2"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CE160F" w:rsidRPr="000567AF" w:rsidRDefault="00CE160F" w:rsidP="000567AF">
            <w:pPr>
              <w:pStyle w:val="Normal1"/>
              <w:spacing w:after="0"/>
              <w:contextualSpacing w:val="0"/>
              <w:jc w:val="left"/>
              <w:rPr>
                <w:b/>
                <w:sz w:val="24"/>
                <w:szCs w:val="24"/>
              </w:rPr>
            </w:pPr>
          </w:p>
          <w:p w:rsidR="00E62716" w:rsidRPr="000567AF" w:rsidRDefault="00E62716" w:rsidP="000567AF">
            <w:pPr>
              <w:pStyle w:val="Normal1"/>
              <w:spacing w:after="0"/>
              <w:contextualSpacing w:val="0"/>
              <w:jc w:val="left"/>
              <w:rPr>
                <w:b/>
                <w:sz w:val="24"/>
                <w:szCs w:val="24"/>
              </w:rPr>
            </w:pPr>
          </w:p>
          <w:p w:rsidR="00E62716" w:rsidRPr="000567AF" w:rsidRDefault="00E62716"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756AC2" w:rsidRPr="000567AF" w:rsidRDefault="00756AC2" w:rsidP="000567AF">
            <w:pPr>
              <w:pStyle w:val="Normal1"/>
              <w:spacing w:after="0"/>
              <w:contextualSpacing w:val="0"/>
              <w:jc w:val="left"/>
              <w:rPr>
                <w:b/>
                <w:sz w:val="24"/>
                <w:szCs w:val="24"/>
              </w:rPr>
            </w:pPr>
          </w:p>
          <w:p w:rsidR="00756AC2" w:rsidRPr="000567AF" w:rsidRDefault="00CA510D" w:rsidP="000567AF">
            <w:pPr>
              <w:pStyle w:val="Normal1"/>
              <w:spacing w:after="0"/>
              <w:ind w:left="12"/>
              <w:contextualSpacing w:val="0"/>
              <w:jc w:val="center"/>
              <w:rPr>
                <w:b/>
                <w:sz w:val="24"/>
                <w:szCs w:val="24"/>
              </w:rPr>
            </w:pPr>
            <w:r w:rsidRPr="000567AF">
              <w:rPr>
                <w:b/>
                <w:sz w:val="24"/>
                <w:szCs w:val="24"/>
              </w:rPr>
              <w:t>SUMÁRIO</w:t>
            </w:r>
          </w:p>
          <w:p w:rsidR="003A4474" w:rsidRPr="000567AF" w:rsidRDefault="003A4474" w:rsidP="000567AF">
            <w:pPr>
              <w:pStyle w:val="Normal1"/>
              <w:spacing w:after="0"/>
              <w:ind w:left="12"/>
              <w:contextualSpacing w:val="0"/>
              <w:jc w:val="center"/>
              <w:rPr>
                <w:b/>
                <w:sz w:val="24"/>
                <w:szCs w:val="24"/>
              </w:rPr>
            </w:pPr>
          </w:p>
          <w:sdt>
            <w:sdtPr>
              <w:rPr>
                <w:sz w:val="24"/>
                <w:szCs w:val="24"/>
              </w:rPr>
              <w:id w:val="-1240185827"/>
              <w:docPartObj>
                <w:docPartGallery w:val="Table of Contents"/>
                <w:docPartUnique/>
              </w:docPartObj>
            </w:sdtPr>
            <w:sdtContent>
              <w:p w:rsidR="00C34676" w:rsidRPr="000567AF" w:rsidRDefault="0087166E" w:rsidP="000567AF">
                <w:pPr>
                  <w:pStyle w:val="Sumrio1"/>
                  <w:tabs>
                    <w:tab w:val="left" w:pos="440"/>
                    <w:tab w:val="right" w:pos="7126"/>
                  </w:tabs>
                  <w:spacing w:after="0"/>
                  <w:contextualSpacing w:val="0"/>
                  <w:rPr>
                    <w:rFonts w:eastAsiaTheme="minorEastAsia"/>
                    <w:noProof/>
                    <w:sz w:val="24"/>
                    <w:szCs w:val="24"/>
                  </w:rPr>
                </w:pPr>
                <w:r w:rsidRPr="000567AF">
                  <w:rPr>
                    <w:sz w:val="24"/>
                    <w:szCs w:val="24"/>
                  </w:rPr>
                  <w:fldChar w:fldCharType="begin"/>
                </w:r>
                <w:r w:rsidR="00541507" w:rsidRPr="000567AF">
                  <w:rPr>
                    <w:sz w:val="24"/>
                    <w:szCs w:val="24"/>
                  </w:rPr>
                  <w:instrText xml:space="preserve"> TOC \h \u \z </w:instrText>
                </w:r>
                <w:r w:rsidRPr="000567AF">
                  <w:rPr>
                    <w:sz w:val="24"/>
                    <w:szCs w:val="24"/>
                  </w:rPr>
                  <w:fldChar w:fldCharType="separate"/>
                </w:r>
                <w:hyperlink w:anchor="_Toc2325171" w:history="1">
                  <w:r w:rsidR="00C34676" w:rsidRPr="000567AF">
                    <w:rPr>
                      <w:rStyle w:val="Hyperlink"/>
                      <w:noProof/>
                      <w:sz w:val="24"/>
                      <w:szCs w:val="24"/>
                    </w:rPr>
                    <w:t>1.</w:t>
                  </w:r>
                  <w:r w:rsidR="00C34676" w:rsidRPr="000567AF">
                    <w:rPr>
                      <w:rFonts w:eastAsiaTheme="minorEastAsia"/>
                      <w:noProof/>
                      <w:sz w:val="24"/>
                      <w:szCs w:val="24"/>
                    </w:rPr>
                    <w:tab/>
                  </w:r>
                  <w:r w:rsidR="00C34676" w:rsidRPr="000567AF">
                    <w:rPr>
                      <w:rStyle w:val="Hyperlink"/>
                      <w:noProof/>
                      <w:sz w:val="24"/>
                      <w:szCs w:val="24"/>
                    </w:rPr>
                    <w:t>INTRODUÇÃO</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_Toc2325171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6</w:t>
                  </w:r>
                  <w:r w:rsidRPr="000567AF">
                    <w:rPr>
                      <w:noProof/>
                      <w:webHidden/>
                      <w:sz w:val="24"/>
                      <w:szCs w:val="24"/>
                    </w:rPr>
                    <w:fldChar w:fldCharType="end"/>
                  </w:r>
                </w:hyperlink>
              </w:p>
              <w:p w:rsidR="00C34676" w:rsidRPr="000567AF" w:rsidRDefault="0087166E" w:rsidP="000567AF">
                <w:pPr>
                  <w:pStyle w:val="Sumrio1"/>
                  <w:tabs>
                    <w:tab w:val="left" w:pos="440"/>
                    <w:tab w:val="right" w:pos="7126"/>
                  </w:tabs>
                  <w:spacing w:after="0"/>
                  <w:contextualSpacing w:val="0"/>
                  <w:rPr>
                    <w:rFonts w:eastAsiaTheme="minorEastAsia"/>
                    <w:noProof/>
                    <w:sz w:val="24"/>
                    <w:szCs w:val="24"/>
                  </w:rPr>
                </w:pPr>
                <w:hyperlink w:anchor="_Toc2325172" w:history="1">
                  <w:r w:rsidR="00C34676" w:rsidRPr="000567AF">
                    <w:rPr>
                      <w:rStyle w:val="Hyperlink"/>
                      <w:noProof/>
                      <w:sz w:val="24"/>
                      <w:szCs w:val="24"/>
                    </w:rPr>
                    <w:t>2.</w:t>
                  </w:r>
                  <w:r w:rsidR="00C34676" w:rsidRPr="000567AF">
                    <w:rPr>
                      <w:rFonts w:eastAsiaTheme="minorEastAsia"/>
                      <w:noProof/>
                      <w:sz w:val="24"/>
                      <w:szCs w:val="24"/>
                    </w:rPr>
                    <w:tab/>
                  </w:r>
                  <w:r w:rsidR="00C34676" w:rsidRPr="000567AF">
                    <w:rPr>
                      <w:rStyle w:val="Hyperlink"/>
                      <w:noProof/>
                      <w:sz w:val="24"/>
                      <w:szCs w:val="24"/>
                    </w:rPr>
                    <w:t>REFERENCIAL TEÓRICO</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_Toc2325172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8</w:t>
                  </w:r>
                  <w:r w:rsidRPr="000567AF">
                    <w:rPr>
                      <w:noProof/>
                      <w:webHidden/>
                      <w:sz w:val="24"/>
                      <w:szCs w:val="24"/>
                    </w:rPr>
                    <w:fldChar w:fldCharType="end"/>
                  </w:r>
                </w:hyperlink>
              </w:p>
              <w:p w:rsidR="00C34676" w:rsidRPr="000567AF" w:rsidRDefault="0087166E" w:rsidP="000567AF">
                <w:pPr>
                  <w:pStyle w:val="Sumrio1"/>
                  <w:tabs>
                    <w:tab w:val="left" w:pos="660"/>
                    <w:tab w:val="right" w:pos="7126"/>
                  </w:tabs>
                  <w:spacing w:after="0"/>
                  <w:contextualSpacing w:val="0"/>
                  <w:rPr>
                    <w:rFonts w:eastAsiaTheme="minorEastAsia"/>
                    <w:noProof/>
                    <w:sz w:val="24"/>
                    <w:szCs w:val="24"/>
                  </w:rPr>
                </w:pPr>
                <w:hyperlink w:anchor="_Toc2325173" w:history="1">
                  <w:r w:rsidR="00C34676" w:rsidRPr="000567AF">
                    <w:rPr>
                      <w:rStyle w:val="Hyperlink"/>
                      <w:noProof/>
                      <w:sz w:val="24"/>
                      <w:szCs w:val="24"/>
                    </w:rPr>
                    <w:t>2.1.</w:t>
                  </w:r>
                  <w:r w:rsidR="00C34676" w:rsidRPr="000567AF">
                    <w:rPr>
                      <w:rFonts w:eastAsiaTheme="minorEastAsia"/>
                      <w:noProof/>
                      <w:sz w:val="24"/>
                      <w:szCs w:val="24"/>
                    </w:rPr>
                    <w:tab/>
                  </w:r>
                  <w:r w:rsidR="00C34676" w:rsidRPr="000567AF">
                    <w:rPr>
                      <w:rStyle w:val="Hyperlink"/>
                      <w:noProof/>
                      <w:sz w:val="24"/>
                      <w:szCs w:val="24"/>
                    </w:rPr>
                    <w:t>Inflação</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_Toc2325173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8</w:t>
                  </w:r>
                  <w:r w:rsidRPr="000567AF">
                    <w:rPr>
                      <w:noProof/>
                      <w:webHidden/>
                      <w:sz w:val="24"/>
                      <w:szCs w:val="24"/>
                    </w:rPr>
                    <w:fldChar w:fldCharType="end"/>
                  </w:r>
                </w:hyperlink>
              </w:p>
              <w:p w:rsidR="00C34676" w:rsidRPr="000567AF" w:rsidRDefault="0087166E" w:rsidP="000567AF">
                <w:pPr>
                  <w:pStyle w:val="Sumrio1"/>
                  <w:tabs>
                    <w:tab w:val="left" w:pos="660"/>
                    <w:tab w:val="right" w:pos="7126"/>
                  </w:tabs>
                  <w:spacing w:after="0"/>
                  <w:contextualSpacing w:val="0"/>
                  <w:rPr>
                    <w:rFonts w:eastAsiaTheme="minorEastAsia"/>
                    <w:noProof/>
                    <w:sz w:val="24"/>
                    <w:szCs w:val="24"/>
                  </w:rPr>
                </w:pPr>
                <w:hyperlink w:anchor="_Toc2325174" w:history="1">
                  <w:r w:rsidR="00C34676" w:rsidRPr="000567AF">
                    <w:rPr>
                      <w:rStyle w:val="Hyperlink"/>
                      <w:noProof/>
                      <w:sz w:val="24"/>
                      <w:szCs w:val="24"/>
                    </w:rPr>
                    <w:t>2.2.</w:t>
                  </w:r>
                  <w:r w:rsidR="00C34676" w:rsidRPr="000567AF">
                    <w:rPr>
                      <w:rFonts w:eastAsiaTheme="minorEastAsia"/>
                      <w:noProof/>
                      <w:sz w:val="24"/>
                      <w:szCs w:val="24"/>
                    </w:rPr>
                    <w:tab/>
                  </w:r>
                  <w:r w:rsidR="00C34676" w:rsidRPr="000567AF">
                    <w:rPr>
                      <w:rStyle w:val="Hyperlink"/>
                      <w:noProof/>
                      <w:sz w:val="24"/>
                      <w:szCs w:val="24"/>
                    </w:rPr>
                    <w:t>Taxa básica de juros de curto prazo – Selic</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_Toc2325174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11</w:t>
                  </w:r>
                  <w:r w:rsidRPr="000567AF">
                    <w:rPr>
                      <w:noProof/>
                      <w:webHidden/>
                      <w:sz w:val="24"/>
                      <w:szCs w:val="24"/>
                    </w:rPr>
                    <w:fldChar w:fldCharType="end"/>
                  </w:r>
                </w:hyperlink>
              </w:p>
              <w:p w:rsidR="00C34676" w:rsidRPr="000567AF" w:rsidRDefault="0087166E" w:rsidP="000567AF">
                <w:pPr>
                  <w:pStyle w:val="Sumrio1"/>
                  <w:tabs>
                    <w:tab w:val="left" w:pos="660"/>
                    <w:tab w:val="right" w:pos="7126"/>
                  </w:tabs>
                  <w:spacing w:after="0"/>
                  <w:contextualSpacing w:val="0"/>
                  <w:rPr>
                    <w:rFonts w:eastAsiaTheme="minorEastAsia"/>
                    <w:noProof/>
                    <w:sz w:val="24"/>
                    <w:szCs w:val="24"/>
                  </w:rPr>
                </w:pPr>
                <w:hyperlink w:anchor="_Toc2325175" w:history="1">
                  <w:r w:rsidR="00C34676" w:rsidRPr="000567AF">
                    <w:rPr>
                      <w:rStyle w:val="Hyperlink"/>
                      <w:noProof/>
                      <w:sz w:val="24"/>
                      <w:szCs w:val="24"/>
                    </w:rPr>
                    <w:t>2.3.</w:t>
                  </w:r>
                  <w:r w:rsidR="00C34676" w:rsidRPr="000567AF">
                    <w:rPr>
                      <w:rFonts w:eastAsiaTheme="minorEastAsia"/>
                      <w:noProof/>
                      <w:sz w:val="24"/>
                      <w:szCs w:val="24"/>
                    </w:rPr>
                    <w:tab/>
                  </w:r>
                  <w:r w:rsidR="00C34676" w:rsidRPr="000567AF">
                    <w:rPr>
                      <w:rStyle w:val="Hyperlink"/>
                      <w:noProof/>
                      <w:sz w:val="24"/>
                      <w:szCs w:val="24"/>
                    </w:rPr>
                    <w:t>Índice de Preços ao Consumidor Amplo (IPCA)</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_Toc2325175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13</w:t>
                  </w:r>
                  <w:r w:rsidRPr="000567AF">
                    <w:rPr>
                      <w:noProof/>
                      <w:webHidden/>
                      <w:sz w:val="24"/>
                      <w:szCs w:val="24"/>
                    </w:rPr>
                    <w:fldChar w:fldCharType="end"/>
                  </w:r>
                </w:hyperlink>
              </w:p>
              <w:p w:rsidR="00C34676" w:rsidRPr="000567AF" w:rsidRDefault="0087166E" w:rsidP="000567AF">
                <w:pPr>
                  <w:pStyle w:val="Sumrio1"/>
                  <w:tabs>
                    <w:tab w:val="left" w:pos="660"/>
                    <w:tab w:val="right" w:pos="7126"/>
                  </w:tabs>
                  <w:spacing w:after="0"/>
                  <w:contextualSpacing w:val="0"/>
                  <w:rPr>
                    <w:rFonts w:eastAsiaTheme="minorEastAsia"/>
                    <w:noProof/>
                    <w:sz w:val="24"/>
                    <w:szCs w:val="24"/>
                  </w:rPr>
                </w:pPr>
                <w:hyperlink w:anchor="_Toc2325176" w:history="1">
                  <w:r w:rsidR="00C34676" w:rsidRPr="000567AF">
                    <w:rPr>
                      <w:rStyle w:val="Hyperlink"/>
                      <w:noProof/>
                      <w:sz w:val="24"/>
                      <w:szCs w:val="24"/>
                    </w:rPr>
                    <w:t>2.4.</w:t>
                  </w:r>
                  <w:r w:rsidR="00C34676" w:rsidRPr="000567AF">
                    <w:rPr>
                      <w:rFonts w:eastAsiaTheme="minorEastAsia"/>
                      <w:noProof/>
                      <w:sz w:val="24"/>
                      <w:szCs w:val="24"/>
                    </w:rPr>
                    <w:tab/>
                  </w:r>
                  <w:r w:rsidR="00C34676" w:rsidRPr="000567AF">
                    <w:rPr>
                      <w:rStyle w:val="Hyperlink"/>
                      <w:noProof/>
                      <w:sz w:val="24"/>
                      <w:szCs w:val="24"/>
                    </w:rPr>
                    <w:t>Boletim Focus</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_Toc2325176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14</w:t>
                  </w:r>
                  <w:r w:rsidRPr="000567AF">
                    <w:rPr>
                      <w:noProof/>
                      <w:webHidden/>
                      <w:sz w:val="24"/>
                      <w:szCs w:val="24"/>
                    </w:rPr>
                    <w:fldChar w:fldCharType="end"/>
                  </w:r>
                </w:hyperlink>
              </w:p>
              <w:p w:rsidR="00C34676" w:rsidRPr="000567AF" w:rsidRDefault="0087166E" w:rsidP="000567AF">
                <w:pPr>
                  <w:pStyle w:val="Sumrio1"/>
                  <w:tabs>
                    <w:tab w:val="left" w:pos="440"/>
                    <w:tab w:val="right" w:pos="7126"/>
                  </w:tabs>
                  <w:spacing w:after="0"/>
                  <w:contextualSpacing w:val="0"/>
                  <w:rPr>
                    <w:rFonts w:eastAsiaTheme="minorEastAsia"/>
                    <w:noProof/>
                    <w:sz w:val="24"/>
                    <w:szCs w:val="24"/>
                  </w:rPr>
                </w:pPr>
                <w:hyperlink w:anchor="_Toc2325177" w:history="1">
                  <w:r w:rsidR="00C34676" w:rsidRPr="000567AF">
                    <w:rPr>
                      <w:rStyle w:val="Hyperlink"/>
                      <w:noProof/>
                      <w:sz w:val="24"/>
                      <w:szCs w:val="24"/>
                    </w:rPr>
                    <w:t>3.</w:t>
                  </w:r>
                  <w:r w:rsidR="00C34676" w:rsidRPr="000567AF">
                    <w:rPr>
                      <w:rFonts w:eastAsiaTheme="minorEastAsia"/>
                      <w:noProof/>
                      <w:sz w:val="24"/>
                      <w:szCs w:val="24"/>
                    </w:rPr>
                    <w:tab/>
                  </w:r>
                  <w:r w:rsidR="00C34676" w:rsidRPr="000567AF">
                    <w:rPr>
                      <w:rStyle w:val="Hyperlink"/>
                      <w:noProof/>
                      <w:sz w:val="24"/>
                      <w:szCs w:val="24"/>
                    </w:rPr>
                    <w:t>METODOLOGIA</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_Toc2325177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16</w:t>
                  </w:r>
                  <w:r w:rsidRPr="000567AF">
                    <w:rPr>
                      <w:noProof/>
                      <w:webHidden/>
                      <w:sz w:val="24"/>
                      <w:szCs w:val="24"/>
                    </w:rPr>
                    <w:fldChar w:fldCharType="end"/>
                  </w:r>
                </w:hyperlink>
              </w:p>
              <w:p w:rsidR="00C34676" w:rsidRPr="000567AF" w:rsidRDefault="0087166E" w:rsidP="000567AF">
                <w:pPr>
                  <w:pStyle w:val="Sumrio1"/>
                  <w:tabs>
                    <w:tab w:val="left" w:pos="440"/>
                    <w:tab w:val="right" w:pos="7126"/>
                  </w:tabs>
                  <w:spacing w:after="0"/>
                  <w:contextualSpacing w:val="0"/>
                  <w:rPr>
                    <w:rFonts w:eastAsiaTheme="minorEastAsia"/>
                    <w:noProof/>
                    <w:sz w:val="24"/>
                    <w:szCs w:val="24"/>
                  </w:rPr>
                </w:pPr>
                <w:hyperlink w:anchor="_Toc2325178" w:history="1">
                  <w:r w:rsidR="00C34676" w:rsidRPr="000567AF">
                    <w:rPr>
                      <w:rStyle w:val="Hyperlink"/>
                      <w:noProof/>
                      <w:sz w:val="24"/>
                      <w:szCs w:val="24"/>
                    </w:rPr>
                    <w:t>4.</w:t>
                  </w:r>
                  <w:r w:rsidR="00C34676" w:rsidRPr="000567AF">
                    <w:rPr>
                      <w:rFonts w:eastAsiaTheme="minorEastAsia"/>
                      <w:noProof/>
                      <w:sz w:val="24"/>
                      <w:szCs w:val="24"/>
                    </w:rPr>
                    <w:tab/>
                  </w:r>
                  <w:r w:rsidR="00C34676" w:rsidRPr="000567AF">
                    <w:rPr>
                      <w:rStyle w:val="Hyperlink"/>
                      <w:noProof/>
                      <w:sz w:val="24"/>
                      <w:szCs w:val="24"/>
                    </w:rPr>
                    <w:t>RESULTADOS</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_Toc2325178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18</w:t>
                  </w:r>
                  <w:r w:rsidRPr="000567AF">
                    <w:rPr>
                      <w:noProof/>
                      <w:webHidden/>
                      <w:sz w:val="24"/>
                      <w:szCs w:val="24"/>
                    </w:rPr>
                    <w:fldChar w:fldCharType="end"/>
                  </w:r>
                </w:hyperlink>
              </w:p>
              <w:p w:rsidR="00C34676" w:rsidRPr="000567AF" w:rsidRDefault="0087166E" w:rsidP="000567AF">
                <w:pPr>
                  <w:pStyle w:val="Sumrio1"/>
                  <w:tabs>
                    <w:tab w:val="left" w:pos="440"/>
                    <w:tab w:val="right" w:pos="7126"/>
                  </w:tabs>
                  <w:spacing w:after="0"/>
                  <w:contextualSpacing w:val="0"/>
                  <w:rPr>
                    <w:rFonts w:eastAsiaTheme="minorEastAsia"/>
                    <w:noProof/>
                    <w:sz w:val="24"/>
                    <w:szCs w:val="24"/>
                  </w:rPr>
                </w:pPr>
                <w:hyperlink w:anchor="_Toc2325179" w:history="1">
                  <w:r w:rsidR="00C34676" w:rsidRPr="000567AF">
                    <w:rPr>
                      <w:rStyle w:val="Hyperlink"/>
                      <w:noProof/>
                      <w:sz w:val="24"/>
                      <w:szCs w:val="24"/>
                    </w:rPr>
                    <w:t>5.</w:t>
                  </w:r>
                  <w:r w:rsidR="00C34676" w:rsidRPr="000567AF">
                    <w:rPr>
                      <w:rFonts w:eastAsiaTheme="minorEastAsia"/>
                      <w:noProof/>
                      <w:sz w:val="24"/>
                      <w:szCs w:val="24"/>
                    </w:rPr>
                    <w:tab/>
                  </w:r>
                  <w:r w:rsidR="00C34676" w:rsidRPr="000567AF">
                    <w:rPr>
                      <w:rStyle w:val="Hyperlink"/>
                      <w:noProof/>
                      <w:sz w:val="24"/>
                      <w:szCs w:val="24"/>
                    </w:rPr>
                    <w:t>CONCLUSÕES</w:t>
                  </w:r>
                  <w:r w:rsidR="00C34676" w:rsidRPr="000567AF">
                    <w:rPr>
                      <w:noProof/>
                      <w:webHidden/>
                      <w:sz w:val="24"/>
                      <w:szCs w:val="24"/>
                    </w:rPr>
                    <w:tab/>
                  </w:r>
                  <w:r w:rsidRPr="000567AF">
                    <w:rPr>
                      <w:noProof/>
                      <w:webHidden/>
                      <w:sz w:val="24"/>
                      <w:szCs w:val="24"/>
                    </w:rPr>
                    <w:fldChar w:fldCharType="begin"/>
                  </w:r>
                  <w:r w:rsidR="00C34676" w:rsidRPr="000567AF">
                    <w:rPr>
                      <w:noProof/>
                      <w:webHidden/>
                      <w:sz w:val="24"/>
                      <w:szCs w:val="24"/>
                    </w:rPr>
                    <w:instrText xml:space="preserve"> PAGEREF _Toc2325179 \h </w:instrText>
                  </w:r>
                  <w:r w:rsidRPr="000567AF">
                    <w:rPr>
                      <w:noProof/>
                      <w:webHidden/>
                      <w:sz w:val="24"/>
                      <w:szCs w:val="24"/>
                    </w:rPr>
                  </w:r>
                  <w:r w:rsidRPr="000567AF">
                    <w:rPr>
                      <w:noProof/>
                      <w:webHidden/>
                      <w:sz w:val="24"/>
                      <w:szCs w:val="24"/>
                    </w:rPr>
                    <w:fldChar w:fldCharType="separate"/>
                  </w:r>
                  <w:r w:rsidR="00C34676" w:rsidRPr="000567AF">
                    <w:rPr>
                      <w:noProof/>
                      <w:webHidden/>
                      <w:sz w:val="24"/>
                      <w:szCs w:val="24"/>
                    </w:rPr>
                    <w:t>34</w:t>
                  </w:r>
                  <w:r w:rsidRPr="000567AF">
                    <w:rPr>
                      <w:noProof/>
                      <w:webHidden/>
                      <w:sz w:val="24"/>
                      <w:szCs w:val="24"/>
                    </w:rPr>
                    <w:fldChar w:fldCharType="end"/>
                  </w:r>
                </w:hyperlink>
              </w:p>
              <w:p w:rsidR="00756AC2" w:rsidRPr="000567AF" w:rsidRDefault="0087166E" w:rsidP="000567AF">
                <w:pPr>
                  <w:pStyle w:val="Normal1"/>
                  <w:spacing w:after="0"/>
                  <w:contextualSpacing w:val="0"/>
                  <w:jc w:val="center"/>
                  <w:rPr>
                    <w:b/>
                    <w:sz w:val="24"/>
                    <w:szCs w:val="24"/>
                  </w:rPr>
                </w:pPr>
                <w:r w:rsidRPr="000567AF">
                  <w:rPr>
                    <w:sz w:val="24"/>
                    <w:szCs w:val="24"/>
                  </w:rPr>
                  <w:fldChar w:fldCharType="end"/>
                </w:r>
              </w:p>
            </w:sdtContent>
          </w:sdt>
          <w:p w:rsidR="00756AC2" w:rsidRPr="000567AF" w:rsidRDefault="00756AC2" w:rsidP="000567AF">
            <w:pPr>
              <w:pStyle w:val="Normal1"/>
              <w:spacing w:after="0"/>
              <w:contextualSpacing w:val="0"/>
              <w:jc w:val="center"/>
              <w:rPr>
                <w:b/>
                <w:sz w:val="24"/>
                <w:szCs w:val="24"/>
              </w:rPr>
            </w:pPr>
          </w:p>
          <w:p w:rsidR="00756AC2" w:rsidRPr="000567AF" w:rsidRDefault="00756AC2" w:rsidP="000567AF">
            <w:pPr>
              <w:pStyle w:val="Normal1"/>
              <w:spacing w:after="0"/>
              <w:contextualSpacing w:val="0"/>
              <w:jc w:val="center"/>
              <w:rPr>
                <w:b/>
                <w:sz w:val="24"/>
                <w:szCs w:val="24"/>
              </w:rPr>
            </w:pPr>
          </w:p>
          <w:p w:rsidR="00756AC2" w:rsidRPr="000567AF" w:rsidRDefault="00756AC2" w:rsidP="000567AF">
            <w:pPr>
              <w:pStyle w:val="Normal1"/>
              <w:spacing w:after="0"/>
              <w:contextualSpacing w:val="0"/>
              <w:jc w:val="center"/>
              <w:rPr>
                <w:b/>
                <w:sz w:val="24"/>
                <w:szCs w:val="24"/>
              </w:rPr>
            </w:pPr>
          </w:p>
          <w:p w:rsidR="00756AC2" w:rsidRPr="000567AF" w:rsidRDefault="00756AC2" w:rsidP="000567AF">
            <w:pPr>
              <w:pStyle w:val="Normal1"/>
              <w:spacing w:after="0"/>
              <w:contextualSpacing w:val="0"/>
              <w:jc w:val="center"/>
              <w:rPr>
                <w:b/>
                <w:sz w:val="24"/>
                <w:szCs w:val="24"/>
              </w:rPr>
            </w:pPr>
          </w:p>
          <w:p w:rsidR="00756AC2" w:rsidRPr="000567AF" w:rsidRDefault="00756AC2" w:rsidP="000567AF">
            <w:pPr>
              <w:pStyle w:val="Normal1"/>
              <w:spacing w:after="0"/>
              <w:contextualSpacing w:val="0"/>
              <w:jc w:val="center"/>
              <w:rPr>
                <w:b/>
                <w:sz w:val="24"/>
                <w:szCs w:val="24"/>
              </w:rPr>
            </w:pPr>
          </w:p>
          <w:p w:rsidR="00756AC2" w:rsidRPr="000567AF" w:rsidRDefault="00756AC2" w:rsidP="000567AF">
            <w:pPr>
              <w:pStyle w:val="Normal1"/>
              <w:spacing w:after="0"/>
              <w:contextualSpacing w:val="0"/>
              <w:jc w:val="center"/>
              <w:rPr>
                <w:b/>
                <w:sz w:val="24"/>
                <w:szCs w:val="24"/>
              </w:rPr>
            </w:pPr>
          </w:p>
          <w:p w:rsidR="00756AC2" w:rsidRPr="000567AF" w:rsidRDefault="00756AC2" w:rsidP="000567AF">
            <w:pPr>
              <w:pStyle w:val="Normal1"/>
              <w:spacing w:after="0"/>
              <w:contextualSpacing w:val="0"/>
              <w:rPr>
                <w:b/>
                <w:sz w:val="24"/>
                <w:szCs w:val="24"/>
              </w:rPr>
            </w:pPr>
          </w:p>
        </w:tc>
        <w:tc>
          <w:tcPr>
            <w:tcW w:w="402" w:type="dxa"/>
          </w:tcPr>
          <w:p w:rsidR="00756AC2" w:rsidRPr="000567AF" w:rsidRDefault="00756AC2" w:rsidP="000567AF">
            <w:pPr>
              <w:pStyle w:val="Normal1"/>
              <w:spacing w:after="0"/>
              <w:contextualSpacing w:val="0"/>
              <w:jc w:val="left"/>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contextualSpacing w:val="0"/>
              <w:rPr>
                <w:sz w:val="24"/>
                <w:szCs w:val="24"/>
              </w:rPr>
            </w:pPr>
          </w:p>
          <w:p w:rsidR="00756AC2" w:rsidRPr="000567AF" w:rsidRDefault="00756AC2" w:rsidP="000567AF">
            <w:pPr>
              <w:pStyle w:val="Normal1"/>
              <w:spacing w:after="0"/>
              <w:ind w:left="1004" w:firstLine="709"/>
              <w:contextualSpacing w:val="0"/>
              <w:rPr>
                <w:sz w:val="24"/>
                <w:szCs w:val="24"/>
              </w:rPr>
            </w:pPr>
          </w:p>
        </w:tc>
      </w:tr>
    </w:tbl>
    <w:p w:rsidR="00756AC2" w:rsidRPr="000567AF" w:rsidRDefault="00756AC2" w:rsidP="000567AF">
      <w:pPr>
        <w:pStyle w:val="Normal1"/>
        <w:pBdr>
          <w:top w:val="nil"/>
          <w:left w:val="nil"/>
          <w:bottom w:val="nil"/>
          <w:right w:val="nil"/>
          <w:between w:val="nil"/>
        </w:pBdr>
        <w:spacing w:after="0"/>
        <w:ind w:left="284" w:hanging="284"/>
        <w:contextualSpacing w:val="0"/>
        <w:rPr>
          <w:b/>
          <w:color w:val="000000"/>
          <w:sz w:val="24"/>
          <w:szCs w:val="24"/>
        </w:rPr>
      </w:pPr>
      <w:bookmarkStart w:id="0" w:name="_gjdgxs" w:colFirst="0" w:colLast="0"/>
      <w:bookmarkEnd w:id="0"/>
    </w:p>
    <w:p w:rsidR="00756AC2" w:rsidRPr="000567AF" w:rsidRDefault="00541507" w:rsidP="000567AF">
      <w:pPr>
        <w:pStyle w:val="Normal1"/>
        <w:widowControl w:val="0"/>
        <w:pBdr>
          <w:top w:val="nil"/>
          <w:left w:val="nil"/>
          <w:bottom w:val="nil"/>
          <w:right w:val="nil"/>
          <w:between w:val="nil"/>
        </w:pBdr>
        <w:spacing w:after="0"/>
        <w:contextualSpacing w:val="0"/>
        <w:jc w:val="left"/>
        <w:rPr>
          <w:b/>
          <w:color w:val="000000"/>
          <w:sz w:val="24"/>
          <w:szCs w:val="24"/>
        </w:rPr>
        <w:sectPr w:rsidR="00756AC2" w:rsidRPr="000567AF" w:rsidSect="000567AF">
          <w:type w:val="continuous"/>
          <w:pgSz w:w="12240" w:h="15840"/>
          <w:pgMar w:top="1701" w:right="1134" w:bottom="1134" w:left="1701" w:header="1871" w:footer="1871" w:gutter="0"/>
          <w:cols w:space="720"/>
        </w:sectPr>
      </w:pPr>
      <w:r w:rsidRPr="000567AF">
        <w:rPr>
          <w:sz w:val="24"/>
          <w:szCs w:val="24"/>
        </w:rPr>
        <w:br w:type="page"/>
      </w:r>
    </w:p>
    <w:p w:rsidR="00756AC2" w:rsidRPr="000567AF" w:rsidRDefault="00541507" w:rsidP="000567AF">
      <w:pPr>
        <w:pStyle w:val="Ttulo1"/>
        <w:numPr>
          <w:ilvl w:val="0"/>
          <w:numId w:val="1"/>
        </w:numPr>
        <w:tabs>
          <w:tab w:val="clear" w:pos="709"/>
          <w:tab w:val="left" w:pos="426"/>
        </w:tabs>
        <w:spacing w:before="0"/>
        <w:ind w:left="378"/>
        <w:rPr>
          <w:sz w:val="24"/>
          <w:szCs w:val="24"/>
        </w:rPr>
      </w:pPr>
      <w:bookmarkStart w:id="1" w:name="_30j0zll" w:colFirst="0" w:colLast="0"/>
      <w:bookmarkStart w:id="2" w:name="_Toc2325171"/>
      <w:bookmarkEnd w:id="1"/>
      <w:r w:rsidRPr="000567AF">
        <w:rPr>
          <w:sz w:val="24"/>
          <w:szCs w:val="24"/>
        </w:rPr>
        <w:lastRenderedPageBreak/>
        <w:t>INTRODUÇÃO</w:t>
      </w:r>
      <w:bookmarkEnd w:id="2"/>
    </w:p>
    <w:p w:rsidR="003A4474" w:rsidRPr="000567AF" w:rsidRDefault="003A4474" w:rsidP="000567AF">
      <w:pPr>
        <w:pStyle w:val="Normal1"/>
        <w:spacing w:after="0"/>
        <w:contextualSpacing w:val="0"/>
        <w:rPr>
          <w:sz w:val="24"/>
          <w:szCs w:val="24"/>
        </w:rPr>
      </w:pPr>
    </w:p>
    <w:p w:rsidR="00756AC2" w:rsidRPr="000567AF" w:rsidRDefault="00E022BA" w:rsidP="000567AF">
      <w:pPr>
        <w:pStyle w:val="Normal1"/>
        <w:spacing w:after="0"/>
        <w:contextualSpacing w:val="0"/>
        <w:rPr>
          <w:sz w:val="24"/>
          <w:szCs w:val="24"/>
        </w:rPr>
      </w:pPr>
      <w:r>
        <w:rPr>
          <w:sz w:val="24"/>
          <w:szCs w:val="24"/>
        </w:rPr>
        <w:tab/>
      </w:r>
      <w:r w:rsidR="00541507" w:rsidRPr="000567AF">
        <w:rPr>
          <w:sz w:val="24"/>
          <w:szCs w:val="24"/>
        </w:rPr>
        <w:t>A política monetária brasileira utiliza-se de ajustes na fixação da taxa básica de juros para controlar a inflação, baseando-se principalmente no Índice Geral de Preços ao Consumidor Amplo</w:t>
      </w:r>
      <w:r w:rsidR="005250B0" w:rsidRPr="000567AF">
        <w:rPr>
          <w:sz w:val="24"/>
          <w:szCs w:val="24"/>
        </w:rPr>
        <w:t xml:space="preserve"> </w:t>
      </w:r>
      <w:r w:rsidR="0056026E" w:rsidRPr="000567AF">
        <w:rPr>
          <w:sz w:val="24"/>
          <w:szCs w:val="24"/>
        </w:rPr>
        <w:t>(IPCA)</w:t>
      </w:r>
      <w:r w:rsidR="00541507" w:rsidRPr="000567AF">
        <w:rPr>
          <w:sz w:val="24"/>
          <w:szCs w:val="24"/>
        </w:rPr>
        <w:t>. A previsão desses indicadores tende a atrair a atenção de vários agentes interessados, como atores do mercado que podem direcionar seus negócios com base em apostas sobre essas previsões.</w:t>
      </w:r>
    </w:p>
    <w:p w:rsidR="007B3230" w:rsidRPr="000567AF" w:rsidRDefault="00541507" w:rsidP="000567AF">
      <w:pPr>
        <w:pStyle w:val="Normal1"/>
        <w:spacing w:after="0"/>
        <w:contextualSpacing w:val="0"/>
        <w:rPr>
          <w:sz w:val="24"/>
          <w:szCs w:val="24"/>
        </w:rPr>
      </w:pPr>
      <w:r w:rsidRPr="000567AF">
        <w:rPr>
          <w:sz w:val="24"/>
          <w:szCs w:val="24"/>
        </w:rPr>
        <w:tab/>
        <w:t>O boletim Focus é um importante e</w:t>
      </w:r>
      <w:r w:rsidR="0056026E" w:rsidRPr="000567AF">
        <w:rPr>
          <w:sz w:val="24"/>
          <w:szCs w:val="24"/>
        </w:rPr>
        <w:t>,</w:t>
      </w:r>
      <w:r w:rsidRPr="000567AF">
        <w:rPr>
          <w:sz w:val="24"/>
          <w:szCs w:val="24"/>
        </w:rPr>
        <w:t xml:space="preserve"> talvez o mais conhecido recurso para informar projeções semanais sobre indicadores da economia brasileira</w:t>
      </w:r>
      <w:r w:rsidR="005D4ABA">
        <w:rPr>
          <w:sz w:val="24"/>
          <w:szCs w:val="24"/>
        </w:rPr>
        <w:t xml:space="preserve">, de acordo com </w:t>
      </w:r>
      <w:hyperlink w:anchor="_lnxbz9">
        <w:r w:rsidR="005D4ABA">
          <w:rPr>
            <w:sz w:val="24"/>
            <w:szCs w:val="24"/>
          </w:rPr>
          <w:t>Araujo e</w:t>
        </w:r>
        <w:r w:rsidR="005D4ABA" w:rsidRPr="000567AF">
          <w:rPr>
            <w:sz w:val="24"/>
            <w:szCs w:val="24"/>
          </w:rPr>
          <w:t xml:space="preserve"> Vicente</w:t>
        </w:r>
        <w:r w:rsidR="005D4ABA">
          <w:rPr>
            <w:sz w:val="24"/>
            <w:szCs w:val="24"/>
          </w:rPr>
          <w:t xml:space="preserve"> (</w:t>
        </w:r>
        <w:r w:rsidR="005D4ABA" w:rsidRPr="000567AF">
          <w:rPr>
            <w:sz w:val="24"/>
            <w:szCs w:val="24"/>
          </w:rPr>
          <w:t>2017</w:t>
        </w:r>
      </w:hyperlink>
      <w:r w:rsidR="005D4ABA">
        <w:rPr>
          <w:sz w:val="24"/>
          <w:szCs w:val="24"/>
        </w:rPr>
        <w:t>) e</w:t>
      </w:r>
      <w:r w:rsidR="005D4ABA" w:rsidRPr="000567AF">
        <w:rPr>
          <w:sz w:val="24"/>
          <w:szCs w:val="24"/>
        </w:rPr>
        <w:t xml:space="preserve"> </w:t>
      </w:r>
      <w:hyperlink w:anchor="_1pxezwc">
        <w:r w:rsidR="005D4ABA">
          <w:rPr>
            <w:sz w:val="24"/>
            <w:szCs w:val="24"/>
          </w:rPr>
          <w:t>Veras</w:t>
        </w:r>
        <w:r w:rsidR="005D4ABA" w:rsidRPr="000567AF">
          <w:rPr>
            <w:sz w:val="24"/>
            <w:szCs w:val="24"/>
          </w:rPr>
          <w:t xml:space="preserve"> </w:t>
        </w:r>
        <w:r w:rsidR="005D4ABA">
          <w:rPr>
            <w:sz w:val="24"/>
            <w:szCs w:val="24"/>
          </w:rPr>
          <w:t>(</w:t>
        </w:r>
        <w:r w:rsidR="005D4ABA" w:rsidRPr="000567AF">
          <w:rPr>
            <w:sz w:val="24"/>
            <w:szCs w:val="24"/>
          </w:rPr>
          <w:t>2015</w:t>
        </w:r>
      </w:hyperlink>
      <w:r w:rsidR="005D4ABA">
        <w:rPr>
          <w:sz w:val="24"/>
          <w:szCs w:val="24"/>
        </w:rPr>
        <w:t>)</w:t>
      </w:r>
      <w:r w:rsidR="005D4ABA" w:rsidRPr="000567AF">
        <w:rPr>
          <w:sz w:val="24"/>
          <w:szCs w:val="24"/>
        </w:rPr>
        <w:t xml:space="preserve">.  </w:t>
      </w:r>
    </w:p>
    <w:p w:rsidR="00756AC2" w:rsidRPr="000567AF" w:rsidRDefault="007B3230" w:rsidP="000567AF">
      <w:pPr>
        <w:pStyle w:val="Normal1"/>
        <w:spacing w:after="0"/>
        <w:contextualSpacing w:val="0"/>
        <w:rPr>
          <w:sz w:val="24"/>
          <w:szCs w:val="24"/>
        </w:rPr>
      </w:pPr>
      <w:r w:rsidRPr="000567AF">
        <w:rPr>
          <w:sz w:val="24"/>
          <w:szCs w:val="24"/>
        </w:rPr>
        <w:tab/>
      </w:r>
      <w:r w:rsidR="00541507" w:rsidRPr="000567AF">
        <w:rPr>
          <w:sz w:val="24"/>
          <w:szCs w:val="24"/>
        </w:rPr>
        <w:t xml:space="preserve">Na literatura, </w:t>
      </w:r>
      <w:r w:rsidR="00535165" w:rsidRPr="000567AF">
        <w:rPr>
          <w:sz w:val="24"/>
          <w:szCs w:val="24"/>
        </w:rPr>
        <w:t>encontram-se várias pesquisas que</w:t>
      </w:r>
      <w:r w:rsidR="00541507" w:rsidRPr="000567AF">
        <w:rPr>
          <w:sz w:val="24"/>
          <w:szCs w:val="24"/>
        </w:rPr>
        <w:t xml:space="preserve"> analisam o poder preditivo do Focus como demonstrados nas pesquisas de </w:t>
      </w:r>
      <w:hyperlink w:anchor="_49x2ik5">
        <w:r w:rsidR="00541507" w:rsidRPr="000567AF">
          <w:rPr>
            <w:sz w:val="24"/>
            <w:szCs w:val="24"/>
          </w:rPr>
          <w:t>Weber (2011)</w:t>
        </w:r>
      </w:hyperlink>
      <w:r w:rsidR="00541507" w:rsidRPr="000567AF">
        <w:rPr>
          <w:sz w:val="24"/>
          <w:szCs w:val="24"/>
        </w:rPr>
        <w:t xml:space="preserve"> ou pesquisas como a de </w:t>
      </w:r>
      <w:hyperlink w:anchor="_1pxezwc">
        <w:r w:rsidR="00541507" w:rsidRPr="000567AF">
          <w:rPr>
            <w:sz w:val="24"/>
            <w:szCs w:val="24"/>
          </w:rPr>
          <w:t>Veras (2015)</w:t>
        </w:r>
      </w:hyperlink>
      <w:r w:rsidR="00541507" w:rsidRPr="000567AF">
        <w:rPr>
          <w:sz w:val="24"/>
          <w:szCs w:val="24"/>
        </w:rPr>
        <w:t xml:space="preserve"> que compara a eficácia de previsão entre indicadores dentro do Boletim Focus, ou ainda, pesquisas mais aprofundadas utilizam os dados do Boletim como referência para avaliar os desafios a serem enfrentados por meio da política monetária brasileira</w:t>
      </w:r>
      <w:r w:rsidR="005D4ABA">
        <w:rPr>
          <w:sz w:val="24"/>
          <w:szCs w:val="24"/>
        </w:rPr>
        <w:t xml:space="preserve">, conforme </w:t>
      </w:r>
      <w:hyperlink w:anchor="_2bn6wsx">
        <w:r w:rsidR="005D4ABA">
          <w:rPr>
            <w:sz w:val="24"/>
            <w:szCs w:val="24"/>
          </w:rPr>
          <w:t xml:space="preserve">Minella et al. (2003). </w:t>
        </w:r>
      </w:hyperlink>
    </w:p>
    <w:p w:rsidR="00756AC2" w:rsidRPr="000567AF" w:rsidRDefault="00541507" w:rsidP="000567AF">
      <w:pPr>
        <w:pStyle w:val="Normal1"/>
        <w:spacing w:after="0"/>
        <w:ind w:firstLine="709"/>
        <w:contextualSpacing w:val="0"/>
        <w:rPr>
          <w:sz w:val="24"/>
          <w:szCs w:val="24"/>
        </w:rPr>
      </w:pPr>
      <w:r w:rsidRPr="000567AF">
        <w:rPr>
          <w:sz w:val="24"/>
          <w:szCs w:val="24"/>
        </w:rPr>
        <w:t xml:space="preserve">Entretanto, a prevalência de artigos com pesquisas quantitativas na área não exclui a importância de um trabalho descritivo, que </w:t>
      </w:r>
      <w:r w:rsidR="00535165" w:rsidRPr="000567AF">
        <w:rPr>
          <w:sz w:val="24"/>
          <w:szCs w:val="24"/>
        </w:rPr>
        <w:t>demonstredidaticamente</w:t>
      </w:r>
      <w:r w:rsidRPr="000567AF">
        <w:rPr>
          <w:sz w:val="24"/>
          <w:szCs w:val="24"/>
        </w:rPr>
        <w:t xml:space="preserve"> como compreender a capacidade de previsão do Boletim Focus, por meio da </w:t>
      </w:r>
      <w:r w:rsidR="0056026E" w:rsidRPr="000567AF">
        <w:rPr>
          <w:sz w:val="24"/>
          <w:szCs w:val="24"/>
        </w:rPr>
        <w:t>análise</w:t>
      </w:r>
      <w:r w:rsidRPr="000567AF">
        <w:rPr>
          <w:sz w:val="24"/>
          <w:szCs w:val="24"/>
        </w:rPr>
        <w:t xml:space="preserve"> de gráficos que comparam os dados do boletim aos dados reais da economia. </w:t>
      </w:r>
    </w:p>
    <w:p w:rsidR="00220D74" w:rsidRPr="000567AF" w:rsidRDefault="00541507" w:rsidP="000567AF">
      <w:pPr>
        <w:pStyle w:val="Normal1"/>
        <w:spacing w:after="0"/>
        <w:contextualSpacing w:val="0"/>
        <w:rPr>
          <w:sz w:val="24"/>
          <w:szCs w:val="24"/>
        </w:rPr>
      </w:pPr>
      <w:r w:rsidRPr="000567AF">
        <w:rPr>
          <w:sz w:val="24"/>
          <w:szCs w:val="24"/>
        </w:rPr>
        <w:tab/>
        <w:t>Portanto, com essa pesquisa, objetiva-se analisar criticamente a ca</w:t>
      </w:r>
      <w:r w:rsidR="00220D74" w:rsidRPr="000567AF">
        <w:rPr>
          <w:sz w:val="24"/>
          <w:szCs w:val="24"/>
        </w:rPr>
        <w:t>pacidade de previsão do boletim Focus em relação ao IPCA e SELIC,</w:t>
      </w:r>
      <w:r w:rsidRPr="000567AF">
        <w:rPr>
          <w:sz w:val="24"/>
          <w:szCs w:val="24"/>
        </w:rPr>
        <w:t xml:space="preserve"> por meio da apresentação e discussão de gráficos comparativos</w:t>
      </w:r>
      <w:r w:rsidR="00220D74" w:rsidRPr="000567AF">
        <w:rPr>
          <w:sz w:val="24"/>
          <w:szCs w:val="24"/>
        </w:rPr>
        <w:t xml:space="preserve"> e da análise da correlação entre os dados preditivos do boletim e os números reais desses dois indicadores.</w:t>
      </w:r>
    </w:p>
    <w:p w:rsidR="00756AC2" w:rsidRPr="000567AF" w:rsidRDefault="007B3230" w:rsidP="000567AF">
      <w:pPr>
        <w:pStyle w:val="Normal1"/>
        <w:spacing w:after="0"/>
        <w:contextualSpacing w:val="0"/>
        <w:rPr>
          <w:sz w:val="24"/>
          <w:szCs w:val="24"/>
        </w:rPr>
      </w:pPr>
      <w:r w:rsidRPr="000567AF">
        <w:rPr>
          <w:sz w:val="24"/>
          <w:szCs w:val="24"/>
        </w:rPr>
        <w:tab/>
      </w:r>
      <w:r w:rsidR="00541507" w:rsidRPr="000567AF">
        <w:rPr>
          <w:sz w:val="24"/>
          <w:szCs w:val="24"/>
        </w:rPr>
        <w:t xml:space="preserve">Tem-se como objetivos específicos comparar as estimativas disponibilizadas pelo Banco Central por meio do Boletim Focus com as reais taxas Selic e fazer a mesma comparação em relação ao Índice de Preços ao Consumidor Amplo (IPCA). Os dois indicadores foram escolhidos para a análise considerando-se a taxa Selic como principal mecanismo de controle da inflação e do IPCA como importante indicador de medição da inflação. </w:t>
      </w:r>
    </w:p>
    <w:p w:rsidR="00284A50" w:rsidRPr="000567AF" w:rsidRDefault="00541507" w:rsidP="000567AF">
      <w:pPr>
        <w:spacing w:after="0"/>
        <w:contextualSpacing w:val="0"/>
        <w:rPr>
          <w:sz w:val="24"/>
          <w:szCs w:val="24"/>
        </w:rPr>
      </w:pPr>
      <w:r w:rsidRPr="000567AF">
        <w:rPr>
          <w:sz w:val="24"/>
          <w:szCs w:val="24"/>
        </w:rPr>
        <w:lastRenderedPageBreak/>
        <w:tab/>
        <w:t xml:space="preserve">Na sequência são apresentados os conceitos principais para compreensão do trabalho, a classificação metodológica e etapas da pesquisa, os resultados extraídos do cruzamento dos dados obtidos no Boletim Focus e as conclusões do autor. </w:t>
      </w:r>
      <w:r w:rsidR="00284A50" w:rsidRPr="000567AF">
        <w:rPr>
          <w:sz w:val="24"/>
          <w:szCs w:val="24"/>
        </w:rPr>
        <w:br w:type="page"/>
      </w:r>
    </w:p>
    <w:p w:rsidR="00756AC2" w:rsidRPr="000567AF" w:rsidRDefault="00541507" w:rsidP="000567AF">
      <w:pPr>
        <w:pStyle w:val="Ttulo1"/>
        <w:numPr>
          <w:ilvl w:val="0"/>
          <w:numId w:val="1"/>
        </w:numPr>
        <w:tabs>
          <w:tab w:val="clear" w:pos="709"/>
          <w:tab w:val="left" w:pos="426"/>
        </w:tabs>
        <w:spacing w:before="0"/>
        <w:ind w:left="378"/>
        <w:rPr>
          <w:sz w:val="24"/>
          <w:szCs w:val="24"/>
        </w:rPr>
      </w:pPr>
      <w:bookmarkStart w:id="3" w:name="_1fob9te" w:colFirst="0" w:colLast="0"/>
      <w:bookmarkStart w:id="4" w:name="_Toc2325172"/>
      <w:bookmarkEnd w:id="3"/>
      <w:r w:rsidRPr="000567AF">
        <w:rPr>
          <w:sz w:val="24"/>
          <w:szCs w:val="24"/>
        </w:rPr>
        <w:lastRenderedPageBreak/>
        <w:t>REFERENCIAL TEÓRICO</w:t>
      </w:r>
      <w:bookmarkEnd w:id="4"/>
    </w:p>
    <w:p w:rsidR="00C34676" w:rsidRPr="000567AF" w:rsidRDefault="00C34676" w:rsidP="000567AF">
      <w:pPr>
        <w:pStyle w:val="Normal1"/>
        <w:spacing w:after="0"/>
        <w:contextualSpacing w:val="0"/>
        <w:rPr>
          <w:sz w:val="24"/>
          <w:szCs w:val="24"/>
        </w:rPr>
      </w:pPr>
    </w:p>
    <w:p w:rsidR="007B3230" w:rsidRPr="000567AF" w:rsidRDefault="00541507" w:rsidP="000567AF">
      <w:pPr>
        <w:pStyle w:val="Normal1"/>
        <w:spacing w:after="0"/>
        <w:contextualSpacing w:val="0"/>
        <w:rPr>
          <w:sz w:val="24"/>
          <w:szCs w:val="24"/>
        </w:rPr>
      </w:pPr>
      <w:r w:rsidRPr="000567AF">
        <w:rPr>
          <w:sz w:val="24"/>
          <w:szCs w:val="24"/>
        </w:rPr>
        <w:tab/>
        <w:t xml:space="preserve">Apresenta-se de forma sucinta o que é inflação, seus componentes e a importância de seus mecanismos de controle. Entre os componentes da Inflação se atribui uma ênfase ao IPCA como indicador determinante da inflação e, portanto, destina-se uma seção para sua explicação. </w:t>
      </w:r>
    </w:p>
    <w:p w:rsidR="00756AC2" w:rsidRPr="000567AF" w:rsidRDefault="007B3230" w:rsidP="000567AF">
      <w:pPr>
        <w:pStyle w:val="Normal1"/>
        <w:spacing w:after="0"/>
        <w:contextualSpacing w:val="0"/>
        <w:rPr>
          <w:sz w:val="24"/>
          <w:szCs w:val="24"/>
        </w:rPr>
      </w:pPr>
      <w:r w:rsidRPr="000567AF">
        <w:rPr>
          <w:sz w:val="24"/>
          <w:szCs w:val="24"/>
        </w:rPr>
        <w:tab/>
      </w:r>
      <w:r w:rsidR="00541507" w:rsidRPr="000567AF">
        <w:rPr>
          <w:sz w:val="24"/>
          <w:szCs w:val="24"/>
        </w:rPr>
        <w:t xml:space="preserve">Também </w:t>
      </w:r>
      <w:r w:rsidR="00535165" w:rsidRPr="000567AF">
        <w:rPr>
          <w:sz w:val="24"/>
          <w:szCs w:val="24"/>
        </w:rPr>
        <w:t>se atribui</w:t>
      </w:r>
      <w:r w:rsidR="00541507" w:rsidRPr="000567AF">
        <w:rPr>
          <w:sz w:val="24"/>
          <w:szCs w:val="24"/>
        </w:rPr>
        <w:t xml:space="preserve"> uma ênfase à taxa de juros de curto prazo (Selic) como mecanismo de controle da inflação e, portanto, uma taxa que varia de acordo com a inflação, destinando-se também uma seção para sua explicação. Na sequência, o Boletim Focus é descrito para familiarizar o leitor com o objeto de estudo desta pesquisa.</w:t>
      </w:r>
    </w:p>
    <w:p w:rsidR="00C34676" w:rsidRPr="000567AF" w:rsidRDefault="00C34676" w:rsidP="000567AF">
      <w:pPr>
        <w:pStyle w:val="Normal1"/>
        <w:spacing w:after="0"/>
        <w:contextualSpacing w:val="0"/>
        <w:rPr>
          <w:sz w:val="24"/>
          <w:szCs w:val="24"/>
        </w:rPr>
      </w:pPr>
    </w:p>
    <w:p w:rsidR="00756AC2" w:rsidRPr="000567AF" w:rsidRDefault="00541507" w:rsidP="000567AF">
      <w:pPr>
        <w:pStyle w:val="Ttulo1"/>
        <w:numPr>
          <w:ilvl w:val="1"/>
          <w:numId w:val="1"/>
        </w:numPr>
        <w:tabs>
          <w:tab w:val="clear" w:pos="709"/>
          <w:tab w:val="left" w:pos="426"/>
        </w:tabs>
        <w:spacing w:before="0"/>
        <w:ind w:left="420"/>
        <w:rPr>
          <w:b w:val="0"/>
          <w:sz w:val="24"/>
          <w:szCs w:val="24"/>
        </w:rPr>
      </w:pPr>
      <w:bookmarkStart w:id="5" w:name="_3znysh7" w:colFirst="0" w:colLast="0"/>
      <w:bookmarkStart w:id="6" w:name="_Toc2325173"/>
      <w:bookmarkEnd w:id="5"/>
      <w:r w:rsidRPr="000567AF">
        <w:rPr>
          <w:b w:val="0"/>
          <w:sz w:val="24"/>
          <w:szCs w:val="24"/>
        </w:rPr>
        <w:t>Inflação</w:t>
      </w:r>
      <w:bookmarkEnd w:id="6"/>
    </w:p>
    <w:p w:rsidR="007B3230" w:rsidRPr="000567AF" w:rsidRDefault="00541507" w:rsidP="000567AF">
      <w:pPr>
        <w:pStyle w:val="Normal1"/>
        <w:spacing w:after="0"/>
        <w:contextualSpacing w:val="0"/>
        <w:rPr>
          <w:sz w:val="24"/>
          <w:szCs w:val="24"/>
        </w:rPr>
      </w:pPr>
      <w:r w:rsidRPr="000567AF">
        <w:rPr>
          <w:sz w:val="24"/>
          <w:szCs w:val="24"/>
        </w:rPr>
        <w:tab/>
        <w:t xml:space="preserve">De maneira geral, </w:t>
      </w:r>
      <w:r w:rsidR="005D4ABA">
        <w:rPr>
          <w:sz w:val="24"/>
          <w:szCs w:val="24"/>
        </w:rPr>
        <w:t xml:space="preserve">de acordo com Gremaud et al. (2017), </w:t>
      </w:r>
      <w:r w:rsidR="00535165" w:rsidRPr="000567AF">
        <w:rPr>
          <w:sz w:val="24"/>
          <w:szCs w:val="24"/>
        </w:rPr>
        <w:t xml:space="preserve">a </w:t>
      </w:r>
      <w:r w:rsidRPr="000567AF">
        <w:rPr>
          <w:sz w:val="24"/>
          <w:szCs w:val="24"/>
        </w:rPr>
        <w:t>inflação refere-se ao aumento contínuo e generalizado de preços em uma economia</w:t>
      </w:r>
      <w:r w:rsidR="005D4ABA">
        <w:rPr>
          <w:sz w:val="24"/>
          <w:szCs w:val="24"/>
        </w:rPr>
        <w:t xml:space="preserve">, </w:t>
      </w:r>
      <w:r w:rsidRPr="000567AF">
        <w:rPr>
          <w:sz w:val="24"/>
          <w:szCs w:val="24"/>
        </w:rPr>
        <w:t>ou seja, quando num dado período o nível geral de preços sobe, diz-se que houve uma inflação naquele período</w:t>
      </w:r>
      <w:r w:rsidR="005D4ABA">
        <w:rPr>
          <w:sz w:val="24"/>
          <w:szCs w:val="24"/>
        </w:rPr>
        <w:t>, conforme Matias (2004)</w:t>
      </w:r>
      <w:r w:rsidRPr="000567AF">
        <w:rPr>
          <w:sz w:val="24"/>
          <w:szCs w:val="24"/>
        </w:rPr>
        <w:t xml:space="preserve">. </w:t>
      </w:r>
      <w:r w:rsidRPr="000567AF">
        <w:rPr>
          <w:sz w:val="24"/>
          <w:szCs w:val="24"/>
        </w:rPr>
        <w:tab/>
      </w:r>
    </w:p>
    <w:p w:rsidR="00756AC2" w:rsidRPr="000567AF" w:rsidRDefault="00F02DC9" w:rsidP="000567AF">
      <w:pPr>
        <w:pStyle w:val="Normal1"/>
        <w:spacing w:after="0"/>
        <w:contextualSpacing w:val="0"/>
        <w:rPr>
          <w:sz w:val="24"/>
          <w:szCs w:val="24"/>
        </w:rPr>
      </w:pPr>
      <w:r>
        <w:rPr>
          <w:sz w:val="24"/>
          <w:szCs w:val="24"/>
        </w:rPr>
        <w:tab/>
      </w:r>
      <w:hyperlink w:anchor="_35nkun2">
        <w:r w:rsidR="00541507" w:rsidRPr="000567AF">
          <w:rPr>
            <w:sz w:val="24"/>
            <w:szCs w:val="24"/>
          </w:rPr>
          <w:t>Bacha (2004)</w:t>
        </w:r>
      </w:hyperlink>
      <w:r w:rsidR="00541507" w:rsidRPr="000567AF">
        <w:rPr>
          <w:sz w:val="24"/>
          <w:szCs w:val="24"/>
        </w:rPr>
        <w:t xml:space="preserve"> apresenta três aspectos que delimitam a compreensão do que é inflação: Situação, estado ou circunstância em que se encontra uma sociedade, em que os aumentos de preços são contínuos e não esporádicos no tempo e são generalizados, tanto entre os bens e serviços quanto ao uso final ou intermediário. </w:t>
      </w:r>
    </w:p>
    <w:p w:rsidR="00756AC2" w:rsidRPr="000567AF" w:rsidRDefault="00541507" w:rsidP="000567AF">
      <w:pPr>
        <w:pStyle w:val="Normal1"/>
        <w:spacing w:after="0"/>
        <w:contextualSpacing w:val="0"/>
        <w:rPr>
          <w:sz w:val="24"/>
          <w:szCs w:val="24"/>
        </w:rPr>
      </w:pPr>
      <w:r w:rsidRPr="000567AF">
        <w:rPr>
          <w:sz w:val="24"/>
          <w:szCs w:val="24"/>
        </w:rPr>
        <w:tab/>
        <w:t xml:space="preserve">Tradicionalmente, </w:t>
      </w:r>
      <w:r w:rsidR="005D4ABA">
        <w:rPr>
          <w:sz w:val="24"/>
          <w:szCs w:val="24"/>
        </w:rPr>
        <w:t xml:space="preserve">de acordo com Gremaud et al. (2017), </w:t>
      </w:r>
      <w:r w:rsidRPr="000567AF">
        <w:rPr>
          <w:sz w:val="24"/>
          <w:szCs w:val="24"/>
        </w:rPr>
        <w:t>na literatura duas correntes básicas são mais difundidas para explicar as causas da inflação: inflação de demanda e de custos. A inflação de demanda é aquela em que a demanda supera a oferta pelo fato de o poder aquisitivo da população subir além da capacidade que a economia tem para prover os bens e serviços demandados (</w:t>
      </w:r>
      <w:hyperlink w:anchor="_2jxsxqh">
        <w:r w:rsidR="007B3230" w:rsidRPr="000567AF">
          <w:rPr>
            <w:sz w:val="24"/>
            <w:szCs w:val="24"/>
          </w:rPr>
          <w:t xml:space="preserve">FRANK </w:t>
        </w:r>
        <w:r w:rsidR="005250B0" w:rsidRPr="000567AF">
          <w:rPr>
            <w:sz w:val="24"/>
            <w:szCs w:val="24"/>
          </w:rPr>
          <w:t>e</w:t>
        </w:r>
        <w:r w:rsidR="00284A50" w:rsidRPr="000567AF">
          <w:rPr>
            <w:sz w:val="24"/>
            <w:szCs w:val="24"/>
          </w:rPr>
          <w:t xml:space="preserve"> </w:t>
        </w:r>
        <w:r w:rsidR="007B3230" w:rsidRPr="000567AF">
          <w:rPr>
            <w:sz w:val="24"/>
            <w:szCs w:val="24"/>
          </w:rPr>
          <w:t>BERNANKE, 2012</w:t>
        </w:r>
      </w:hyperlink>
      <w:r w:rsidRPr="000567AF">
        <w:rPr>
          <w:sz w:val="24"/>
          <w:szCs w:val="24"/>
        </w:rPr>
        <w:t xml:space="preserve">). </w:t>
      </w:r>
      <w:r w:rsidR="005D4ABA">
        <w:rPr>
          <w:sz w:val="24"/>
          <w:szCs w:val="24"/>
        </w:rPr>
        <w:t>Ainda de acordo com Frank e Bernanke (2012),</w:t>
      </w:r>
      <w:r w:rsidRPr="000567AF">
        <w:rPr>
          <w:sz w:val="24"/>
          <w:szCs w:val="24"/>
        </w:rPr>
        <w:t xml:space="preserve"> a inflação de custos é aquela em que os insumos necessários para a produção de bens e serviços ficam mais caros, gerando um repasse desse aumento aos consumidores. </w:t>
      </w:r>
    </w:p>
    <w:p w:rsidR="007B3230" w:rsidRPr="000567AF" w:rsidRDefault="00541507" w:rsidP="000567AF">
      <w:pPr>
        <w:pStyle w:val="Normal1"/>
        <w:spacing w:after="0"/>
        <w:contextualSpacing w:val="0"/>
        <w:rPr>
          <w:sz w:val="24"/>
          <w:szCs w:val="24"/>
        </w:rPr>
      </w:pPr>
      <w:r w:rsidRPr="000567AF">
        <w:rPr>
          <w:sz w:val="24"/>
          <w:szCs w:val="24"/>
        </w:rPr>
        <w:tab/>
        <w:t xml:space="preserve">Pode-se compreender, portanto, que as diferentes maneiras de se definir a inflação variam de acordo com a ênfase atribuída a alguns fatores que a causam. A inflação de demanda, por exemplo, privilegia o aspecto do conflito distributivo entre os setores público e privado, pois é causada, por exemplo, quando o governo por meio da emissão de papel moeda visando ao seu </w:t>
      </w:r>
      <w:r w:rsidRPr="000567AF">
        <w:rPr>
          <w:sz w:val="24"/>
          <w:szCs w:val="24"/>
        </w:rPr>
        <w:lastRenderedPageBreak/>
        <w:t>financiamento próprio, origina um fenômeno inflacionário</w:t>
      </w:r>
      <w:r w:rsidR="00022644">
        <w:rPr>
          <w:sz w:val="24"/>
          <w:szCs w:val="24"/>
        </w:rPr>
        <w:t>, conforme explica Gremaud et al. (2017)</w:t>
      </w:r>
      <w:r w:rsidRPr="000567AF">
        <w:rPr>
          <w:sz w:val="24"/>
          <w:szCs w:val="24"/>
        </w:rPr>
        <w:t xml:space="preserve">.  </w:t>
      </w:r>
    </w:p>
    <w:p w:rsidR="00756AC2" w:rsidRPr="000567AF" w:rsidRDefault="007B3230" w:rsidP="000567AF">
      <w:pPr>
        <w:pStyle w:val="Normal1"/>
        <w:spacing w:after="0"/>
        <w:contextualSpacing w:val="0"/>
        <w:rPr>
          <w:sz w:val="24"/>
          <w:szCs w:val="24"/>
        </w:rPr>
      </w:pPr>
      <w:r w:rsidRPr="000567AF">
        <w:rPr>
          <w:sz w:val="24"/>
          <w:szCs w:val="24"/>
        </w:rPr>
        <w:tab/>
      </w:r>
      <w:r w:rsidR="00541507" w:rsidRPr="000567AF">
        <w:rPr>
          <w:sz w:val="24"/>
          <w:szCs w:val="24"/>
        </w:rPr>
        <w:t>Ao definir a inflação em termos dos custos, privilegia-se o conflito distributivo de preços particulares de itens que impactam em determinadas cadeias produtivas, por exemplo o petróleo que impacta no preço de inúmeros setores e produtos (</w:t>
      </w:r>
      <w:hyperlink w:anchor="_3j2qqm3">
        <w:r w:rsidRPr="000567AF">
          <w:rPr>
            <w:sz w:val="24"/>
            <w:szCs w:val="24"/>
          </w:rPr>
          <w:t xml:space="preserve">GREMAUD </w:t>
        </w:r>
        <w:r w:rsidR="005E6147" w:rsidRPr="000567AF">
          <w:rPr>
            <w:sz w:val="24"/>
            <w:szCs w:val="24"/>
          </w:rPr>
          <w:t>et al</w:t>
        </w:r>
        <w:r w:rsidRPr="000567AF">
          <w:rPr>
            <w:sz w:val="24"/>
            <w:szCs w:val="24"/>
          </w:rPr>
          <w:t>., 2017</w:t>
        </w:r>
      </w:hyperlink>
      <w:r w:rsidR="00541507" w:rsidRPr="000567AF">
        <w:rPr>
          <w:sz w:val="24"/>
          <w:szCs w:val="24"/>
        </w:rPr>
        <w:t xml:space="preserve">).  </w:t>
      </w:r>
    </w:p>
    <w:p w:rsidR="00756AC2" w:rsidRPr="000567AF" w:rsidRDefault="00541507" w:rsidP="000567AF">
      <w:pPr>
        <w:pStyle w:val="Normal1"/>
        <w:spacing w:after="0"/>
        <w:contextualSpacing w:val="0"/>
        <w:rPr>
          <w:sz w:val="24"/>
          <w:szCs w:val="24"/>
        </w:rPr>
      </w:pPr>
      <w:r w:rsidRPr="000567AF">
        <w:rPr>
          <w:sz w:val="24"/>
          <w:szCs w:val="24"/>
        </w:rPr>
        <w:tab/>
        <w:t>Apesar de demanda e custos serem as formas mais adotadas de inflação, a discussão sobre as causas da inflação também pode ser polarizada entre a teoria monetarista e a keynesiana. A primeira enfatiza a expansão monetária advinda dos déficits públicos como a causa da inflação, enquanto a segunda a associa com elevações particulares dos custos de produção</w:t>
      </w:r>
      <w:r w:rsidR="00022644">
        <w:rPr>
          <w:sz w:val="24"/>
          <w:szCs w:val="24"/>
        </w:rPr>
        <w:t>, conforme Bacha (2004)</w:t>
      </w:r>
      <w:r w:rsidRPr="000567AF">
        <w:rPr>
          <w:sz w:val="24"/>
          <w:szCs w:val="24"/>
        </w:rPr>
        <w:t xml:space="preserve">. </w:t>
      </w:r>
    </w:p>
    <w:p w:rsidR="00756AC2" w:rsidRPr="000567AF" w:rsidRDefault="00541507" w:rsidP="000567AF">
      <w:pPr>
        <w:pStyle w:val="Normal1"/>
        <w:spacing w:after="0"/>
        <w:contextualSpacing w:val="0"/>
        <w:rPr>
          <w:sz w:val="24"/>
          <w:szCs w:val="24"/>
        </w:rPr>
      </w:pPr>
      <w:r w:rsidRPr="000567AF">
        <w:rPr>
          <w:sz w:val="24"/>
          <w:szCs w:val="24"/>
        </w:rPr>
        <w:tab/>
        <w:t>Uma terceira situação é a inflação inercial tratada como um jogo não cooperativo no qual preços de serviços e produtos são indexados pela inflação passada, criando-se uma situação de inércia inflacionária (</w:t>
      </w:r>
      <w:hyperlink w:anchor="_3j2qqm3">
        <w:r w:rsidR="007B3230" w:rsidRPr="000567AF">
          <w:rPr>
            <w:sz w:val="24"/>
            <w:szCs w:val="24"/>
          </w:rPr>
          <w:t xml:space="preserve">GREMAUD </w:t>
        </w:r>
        <w:r w:rsidR="005E6147" w:rsidRPr="000567AF">
          <w:rPr>
            <w:sz w:val="24"/>
            <w:szCs w:val="24"/>
          </w:rPr>
          <w:t>et al</w:t>
        </w:r>
        <w:r w:rsidR="007B3230" w:rsidRPr="000567AF">
          <w:rPr>
            <w:sz w:val="24"/>
            <w:szCs w:val="24"/>
          </w:rPr>
          <w:t>., 2017</w:t>
        </w:r>
      </w:hyperlink>
      <w:r w:rsidRPr="000567AF">
        <w:rPr>
          <w:sz w:val="24"/>
          <w:szCs w:val="24"/>
        </w:rPr>
        <w:t>).</w:t>
      </w:r>
    </w:p>
    <w:p w:rsidR="00756AC2" w:rsidRPr="000567AF" w:rsidRDefault="00541507" w:rsidP="000567AF">
      <w:pPr>
        <w:pStyle w:val="Normal1"/>
        <w:spacing w:after="0"/>
        <w:contextualSpacing w:val="0"/>
        <w:rPr>
          <w:sz w:val="24"/>
          <w:szCs w:val="24"/>
        </w:rPr>
      </w:pPr>
      <w:r w:rsidRPr="000567AF">
        <w:rPr>
          <w:sz w:val="24"/>
          <w:szCs w:val="24"/>
        </w:rPr>
        <w:tab/>
        <w:t xml:space="preserve">Tendo se compreendido o que é a inflação, é preciso compreender como ela é medida. A inflação pode ser indicada por um índice de comparação dos preços dos bens em cada período de tempo. Essa comparação é realizada da seguinte maneira: determina-se uma cesta de itens cujas quantidades são relativas ao consumo médio por um grupo de interesse. Por exemplo, a cesta de custo de vida para as pessoas que ganham até cinco salários mínimos. </w:t>
      </w:r>
      <w:hyperlink w:anchor="_1y810tw">
        <w:r w:rsidR="000E1FCE" w:rsidRPr="000567AF">
          <w:rPr>
            <w:sz w:val="24"/>
            <w:szCs w:val="24"/>
          </w:rPr>
          <w:t xml:space="preserve">Mahlmann </w:t>
        </w:r>
        <w:r w:rsidR="000E1FCE">
          <w:rPr>
            <w:sz w:val="24"/>
            <w:szCs w:val="24"/>
          </w:rPr>
          <w:t>(</w:t>
        </w:r>
        <w:r w:rsidR="000E1FCE" w:rsidRPr="000567AF">
          <w:rPr>
            <w:sz w:val="24"/>
            <w:szCs w:val="24"/>
          </w:rPr>
          <w:t>2010</w:t>
        </w:r>
      </w:hyperlink>
      <w:r w:rsidR="000E1FCE">
        <w:rPr>
          <w:sz w:val="24"/>
          <w:szCs w:val="24"/>
        </w:rPr>
        <w:t>) explica que, tendo sido d</w:t>
      </w:r>
      <w:r w:rsidRPr="000567AF">
        <w:rPr>
          <w:sz w:val="24"/>
          <w:szCs w:val="24"/>
        </w:rPr>
        <w:t>eterminada essa cesta, todos os meses é feita uma pesquisa de mercado para ver a evolução do total de custo desta cesta; a divisão do custo da cesta neste mês pelo custo do mês anterior é o índice de inflação para este caso específico.</w:t>
      </w:r>
    </w:p>
    <w:p w:rsidR="00756AC2" w:rsidRPr="000567AF" w:rsidRDefault="000E1FCE" w:rsidP="000567AF">
      <w:pPr>
        <w:pStyle w:val="Normal1"/>
        <w:spacing w:after="0"/>
        <w:contextualSpacing w:val="0"/>
        <w:rPr>
          <w:sz w:val="24"/>
          <w:szCs w:val="24"/>
        </w:rPr>
      </w:pPr>
      <w:r>
        <w:rPr>
          <w:sz w:val="24"/>
          <w:szCs w:val="24"/>
        </w:rPr>
        <w:tab/>
        <w:t xml:space="preserve">De acordo com </w:t>
      </w:r>
      <w:hyperlink w:anchor="_1y810tw">
        <w:r w:rsidRPr="000567AF">
          <w:rPr>
            <w:sz w:val="24"/>
            <w:szCs w:val="24"/>
          </w:rPr>
          <w:t xml:space="preserve">Mahlmann </w:t>
        </w:r>
        <w:r>
          <w:rPr>
            <w:sz w:val="24"/>
            <w:szCs w:val="24"/>
          </w:rPr>
          <w:t>(</w:t>
        </w:r>
        <w:r w:rsidRPr="000567AF">
          <w:rPr>
            <w:sz w:val="24"/>
            <w:szCs w:val="24"/>
          </w:rPr>
          <w:t>2010</w:t>
        </w:r>
      </w:hyperlink>
      <w:r>
        <w:rPr>
          <w:sz w:val="24"/>
          <w:szCs w:val="24"/>
        </w:rPr>
        <w:t>), o</w:t>
      </w:r>
      <w:r w:rsidR="00541507" w:rsidRPr="000567AF">
        <w:rPr>
          <w:sz w:val="24"/>
          <w:szCs w:val="24"/>
        </w:rPr>
        <w:t xml:space="preserve">utro cálculo possível é por meio do deflator implícito, que </w:t>
      </w:r>
      <w:r w:rsidR="007A6334" w:rsidRPr="000567AF">
        <w:rPr>
          <w:sz w:val="24"/>
          <w:szCs w:val="24"/>
        </w:rPr>
        <w:t>significa fazer</w:t>
      </w:r>
      <w:r w:rsidR="00541507" w:rsidRPr="000567AF">
        <w:rPr>
          <w:sz w:val="24"/>
          <w:szCs w:val="24"/>
        </w:rPr>
        <w:t xml:space="preserve"> a cesta contendo todos os bens e serviços produzidos por uma sociedade em certo p</w:t>
      </w:r>
      <w:r w:rsidR="00A269C9" w:rsidRPr="000567AF">
        <w:rPr>
          <w:sz w:val="24"/>
          <w:szCs w:val="24"/>
        </w:rPr>
        <w:t>eríodo, e de período a período</w:t>
      </w:r>
      <w:r w:rsidR="00541507" w:rsidRPr="000567AF">
        <w:rPr>
          <w:sz w:val="24"/>
          <w:szCs w:val="24"/>
        </w:rPr>
        <w:t xml:space="preserve"> calcular o preço de mercado desta cesta.</w:t>
      </w:r>
    </w:p>
    <w:p w:rsidR="00756AC2" w:rsidRPr="000567AF" w:rsidRDefault="00541507" w:rsidP="000567AF">
      <w:pPr>
        <w:pStyle w:val="Normal1"/>
        <w:spacing w:after="0"/>
        <w:contextualSpacing w:val="0"/>
        <w:rPr>
          <w:sz w:val="24"/>
          <w:szCs w:val="24"/>
        </w:rPr>
      </w:pPr>
      <w:r w:rsidRPr="000567AF">
        <w:rPr>
          <w:sz w:val="24"/>
          <w:szCs w:val="24"/>
        </w:rPr>
        <w:tab/>
        <w:t xml:space="preserve">Assim, dois são os principais índices que </w:t>
      </w:r>
      <w:r w:rsidR="006938AD" w:rsidRPr="000567AF">
        <w:rPr>
          <w:sz w:val="24"/>
          <w:szCs w:val="24"/>
        </w:rPr>
        <w:t>apoiam</w:t>
      </w:r>
      <w:r w:rsidRPr="000567AF">
        <w:rPr>
          <w:sz w:val="24"/>
          <w:szCs w:val="24"/>
        </w:rPr>
        <w:t xml:space="preserve"> a análise da inflação: o deflator do PIB, que indica o preço médio dos bens produzidos, e o Índice de Preços ao Consumidor Amplo (IPCA), que indica o preço médio dos bens consumidos (</w:t>
      </w:r>
      <w:hyperlink w:anchor="_1ksv4uv">
        <w:r w:rsidR="007B3230" w:rsidRPr="000567AF">
          <w:rPr>
            <w:sz w:val="24"/>
            <w:szCs w:val="24"/>
          </w:rPr>
          <w:t>BLANCHARD</w:t>
        </w:r>
        <w:r w:rsidR="00284A50" w:rsidRPr="000567AF">
          <w:rPr>
            <w:sz w:val="24"/>
            <w:szCs w:val="24"/>
          </w:rPr>
          <w:t>;</w:t>
        </w:r>
        <w:r w:rsidR="007B3230" w:rsidRPr="000567AF">
          <w:rPr>
            <w:sz w:val="24"/>
            <w:szCs w:val="24"/>
          </w:rPr>
          <w:t xml:space="preserve"> AMIGHINI, </w:t>
        </w:r>
        <w:r w:rsidR="005250B0" w:rsidRPr="000567AF">
          <w:rPr>
            <w:sz w:val="24"/>
            <w:szCs w:val="24"/>
          </w:rPr>
          <w:t>e</w:t>
        </w:r>
        <w:r w:rsidR="00284A50" w:rsidRPr="000567AF">
          <w:rPr>
            <w:sz w:val="24"/>
            <w:szCs w:val="24"/>
          </w:rPr>
          <w:t xml:space="preserve"> </w:t>
        </w:r>
        <w:r w:rsidR="007B3230" w:rsidRPr="000567AF">
          <w:rPr>
            <w:sz w:val="24"/>
            <w:szCs w:val="24"/>
          </w:rPr>
          <w:t>GIAVAZZI, 2014</w:t>
        </w:r>
      </w:hyperlink>
      <w:r w:rsidRPr="000567AF">
        <w:rPr>
          <w:sz w:val="24"/>
          <w:szCs w:val="24"/>
        </w:rPr>
        <w:t xml:space="preserve">), que será explicado na seção 1.3. </w:t>
      </w:r>
    </w:p>
    <w:p w:rsidR="00756AC2" w:rsidRPr="000567AF" w:rsidRDefault="000E1FCE" w:rsidP="000567AF">
      <w:pPr>
        <w:pStyle w:val="Normal1"/>
        <w:spacing w:after="0"/>
        <w:contextualSpacing w:val="0"/>
        <w:rPr>
          <w:sz w:val="24"/>
          <w:szCs w:val="24"/>
        </w:rPr>
      </w:pPr>
      <w:r>
        <w:rPr>
          <w:sz w:val="24"/>
          <w:szCs w:val="24"/>
        </w:rPr>
        <w:lastRenderedPageBreak/>
        <w:tab/>
        <w:t>Bacha (2004) afirma que n</w:t>
      </w:r>
      <w:r w:rsidR="00541507" w:rsidRPr="000567AF">
        <w:rPr>
          <w:sz w:val="24"/>
          <w:szCs w:val="24"/>
        </w:rPr>
        <w:t xml:space="preserve">ão há uma relação bem definida entre os níveis de inflação e o desenvolvimento de um país, porém, </w:t>
      </w:r>
      <w:hyperlink w:anchor="_3j2qqm3">
        <w:r>
          <w:rPr>
            <w:sz w:val="24"/>
            <w:szCs w:val="24"/>
          </w:rPr>
          <w:t>G</w:t>
        </w:r>
        <w:r w:rsidRPr="000567AF">
          <w:rPr>
            <w:sz w:val="24"/>
            <w:szCs w:val="24"/>
          </w:rPr>
          <w:t>remaud et al</w:t>
        </w:r>
        <w:r>
          <w:rPr>
            <w:sz w:val="24"/>
            <w:szCs w:val="24"/>
          </w:rPr>
          <w:t>. (</w:t>
        </w:r>
        <w:r w:rsidRPr="000567AF">
          <w:rPr>
            <w:sz w:val="24"/>
            <w:szCs w:val="24"/>
          </w:rPr>
          <w:t>2017</w:t>
        </w:r>
      </w:hyperlink>
      <w:r>
        <w:rPr>
          <w:sz w:val="24"/>
          <w:szCs w:val="24"/>
        </w:rPr>
        <w:t xml:space="preserve">) </w:t>
      </w:r>
      <w:r w:rsidR="00541507" w:rsidRPr="000567AF">
        <w:rPr>
          <w:sz w:val="24"/>
          <w:szCs w:val="24"/>
        </w:rPr>
        <w:t>afirma que o controle da inflação foi, durante muito tempo, um problema característico da economia brasileira e, desse controle, depende a estabilização econômica, crescimento da renda e emprego e possibilidade de melhoria</w:t>
      </w:r>
      <w:r>
        <w:rPr>
          <w:sz w:val="24"/>
          <w:szCs w:val="24"/>
        </w:rPr>
        <w:t xml:space="preserve"> do padrão de vida da população</w:t>
      </w:r>
      <w:r w:rsidR="00541507" w:rsidRPr="000567AF">
        <w:rPr>
          <w:sz w:val="24"/>
          <w:szCs w:val="24"/>
        </w:rPr>
        <w:t xml:space="preserve">. </w:t>
      </w:r>
    </w:p>
    <w:p w:rsidR="00756AC2" w:rsidRPr="000567AF" w:rsidRDefault="007B3230" w:rsidP="000567AF">
      <w:pPr>
        <w:pStyle w:val="Normal1"/>
        <w:spacing w:after="0"/>
        <w:contextualSpacing w:val="0"/>
        <w:rPr>
          <w:sz w:val="24"/>
          <w:szCs w:val="24"/>
        </w:rPr>
      </w:pPr>
      <w:r w:rsidRPr="000567AF">
        <w:rPr>
          <w:sz w:val="24"/>
          <w:szCs w:val="24"/>
        </w:rPr>
        <w:tab/>
      </w:r>
      <w:r w:rsidR="00541507" w:rsidRPr="000567AF">
        <w:rPr>
          <w:sz w:val="24"/>
          <w:szCs w:val="24"/>
        </w:rPr>
        <w:tab/>
        <w:t>Nesse sentido, a inflação é um dos fatores que determinam a taxa de juros em uma economia (</w:t>
      </w:r>
      <w:hyperlink w:anchor="_2xcytpi">
        <w:r w:rsidRPr="000567AF">
          <w:rPr>
            <w:sz w:val="24"/>
            <w:szCs w:val="24"/>
          </w:rPr>
          <w:t>MATIAS, 2004</w:t>
        </w:r>
      </w:hyperlink>
      <w:r w:rsidR="000E1FCE">
        <w:rPr>
          <w:sz w:val="24"/>
          <w:szCs w:val="24"/>
        </w:rPr>
        <w:t xml:space="preserve">).  Segundo </w:t>
      </w:r>
      <w:hyperlink w:anchor="_3j2qqm3">
        <w:r w:rsidR="000E1FCE">
          <w:rPr>
            <w:sz w:val="24"/>
            <w:szCs w:val="24"/>
          </w:rPr>
          <w:t>G</w:t>
        </w:r>
        <w:r w:rsidR="000E1FCE" w:rsidRPr="000567AF">
          <w:rPr>
            <w:sz w:val="24"/>
            <w:szCs w:val="24"/>
          </w:rPr>
          <w:t>remaud et al</w:t>
        </w:r>
        <w:r w:rsidR="000E1FCE">
          <w:rPr>
            <w:sz w:val="24"/>
            <w:szCs w:val="24"/>
          </w:rPr>
          <w:t>.</w:t>
        </w:r>
        <w:r w:rsidR="000E1FCE" w:rsidRPr="000567AF">
          <w:rPr>
            <w:sz w:val="24"/>
            <w:szCs w:val="24"/>
          </w:rPr>
          <w:t xml:space="preserve"> </w:t>
        </w:r>
        <w:r w:rsidR="000E1FCE">
          <w:rPr>
            <w:sz w:val="24"/>
            <w:szCs w:val="24"/>
          </w:rPr>
          <w:t>(</w:t>
        </w:r>
        <w:r w:rsidR="000E1FCE" w:rsidRPr="000567AF">
          <w:rPr>
            <w:sz w:val="24"/>
            <w:szCs w:val="24"/>
          </w:rPr>
          <w:t>2017</w:t>
        </w:r>
      </w:hyperlink>
      <w:r w:rsidR="000E1FCE">
        <w:rPr>
          <w:sz w:val="24"/>
          <w:szCs w:val="24"/>
        </w:rPr>
        <w:t>), m</w:t>
      </w:r>
      <w:r w:rsidR="00541507" w:rsidRPr="000567AF">
        <w:rPr>
          <w:sz w:val="24"/>
          <w:szCs w:val="24"/>
        </w:rPr>
        <w:t xml:space="preserve">uito tem se discutido sobre qual seria a política monetária mais adequada para o controle da inflação e duas estratégias se destacam, o acompanhamento do indicador chamado Núcleo de </w:t>
      </w:r>
      <w:r w:rsidR="00C7488D" w:rsidRPr="000567AF">
        <w:rPr>
          <w:sz w:val="24"/>
          <w:szCs w:val="24"/>
        </w:rPr>
        <w:t>I</w:t>
      </w:r>
      <w:r w:rsidR="00541507" w:rsidRPr="000567AF">
        <w:rPr>
          <w:sz w:val="24"/>
          <w:szCs w:val="24"/>
        </w:rPr>
        <w:t>nflação, utilizada pelos EUA e o estabelecimento de metas de inflação, utilizado no Brasil</w:t>
      </w:r>
      <w:r w:rsidR="000E1FCE">
        <w:rPr>
          <w:sz w:val="24"/>
          <w:szCs w:val="24"/>
        </w:rPr>
        <w:t>.</w:t>
      </w:r>
    </w:p>
    <w:p w:rsidR="00E719A1" w:rsidRPr="000567AF" w:rsidRDefault="00E719A1" w:rsidP="000567AF">
      <w:pPr>
        <w:pStyle w:val="Normal1"/>
        <w:spacing w:after="0"/>
        <w:contextualSpacing w:val="0"/>
        <w:rPr>
          <w:color w:val="FF0000"/>
          <w:sz w:val="24"/>
          <w:szCs w:val="24"/>
        </w:rPr>
      </w:pPr>
      <w:r w:rsidRPr="000567AF">
        <w:rPr>
          <w:sz w:val="24"/>
          <w:szCs w:val="24"/>
        </w:rPr>
        <w:tab/>
        <w:t>Desde 1999, o controle da inflação no Brasil é realizado por meio do sistema de metas de inflação (inflationtarget), uma política monetária criada na Nova Zelândia. Essa política funciona com a fixação de uma “âncora” nominal que orienta as expectativas de mercado, ou seja, fixam-se limites para a inflação futura, que será controlada por meio de ajustes na fixação da taxa básica de juros (</w:t>
      </w:r>
      <w:hyperlink w:anchor="_3j2qqm3">
        <w:r w:rsidRPr="000567AF">
          <w:rPr>
            <w:sz w:val="24"/>
            <w:szCs w:val="24"/>
          </w:rPr>
          <w:t xml:space="preserve">GREMAUD </w:t>
        </w:r>
        <w:r w:rsidR="005E6147" w:rsidRPr="000567AF">
          <w:rPr>
            <w:sz w:val="24"/>
            <w:szCs w:val="24"/>
          </w:rPr>
          <w:t>et al</w:t>
        </w:r>
        <w:r w:rsidRPr="000567AF">
          <w:rPr>
            <w:sz w:val="24"/>
            <w:szCs w:val="24"/>
          </w:rPr>
          <w:t>., 2017</w:t>
        </w:r>
      </w:hyperlink>
      <w:r w:rsidRPr="000567AF">
        <w:rPr>
          <w:sz w:val="24"/>
          <w:szCs w:val="24"/>
        </w:rPr>
        <w:t>).</w:t>
      </w:r>
    </w:p>
    <w:p w:rsidR="00756AC2" w:rsidRPr="000567AF" w:rsidRDefault="00541507" w:rsidP="000567AF">
      <w:pPr>
        <w:pStyle w:val="Normal1"/>
        <w:spacing w:after="0"/>
        <w:contextualSpacing w:val="0"/>
        <w:rPr>
          <w:sz w:val="24"/>
          <w:szCs w:val="24"/>
        </w:rPr>
      </w:pPr>
      <w:r w:rsidRPr="000567AF">
        <w:rPr>
          <w:sz w:val="24"/>
          <w:szCs w:val="24"/>
        </w:rPr>
        <w:tab/>
        <w:t xml:space="preserve">Segundo </w:t>
      </w:r>
      <w:hyperlink w:anchor="_3whwml4">
        <w:r w:rsidRPr="000567AF">
          <w:rPr>
            <w:sz w:val="24"/>
            <w:szCs w:val="24"/>
          </w:rPr>
          <w:t>Mendonça (2001)</w:t>
        </w:r>
      </w:hyperlink>
      <w:r w:rsidRPr="000567AF">
        <w:rPr>
          <w:sz w:val="24"/>
          <w:szCs w:val="24"/>
        </w:rPr>
        <w:t>, existem cinco mecanismos principais de transmissão da política monetária considerados básicos para as reuniões efetuadas pelo Comitê de Política Monetária do Banco Central do Brasil (COPOM), são eles: i) taxa de juros; ii) taxa de câmbio; iii) preço dos ativos; iv) crédito; e v) expectativas.</w:t>
      </w:r>
    </w:p>
    <w:p w:rsidR="00756AC2" w:rsidRPr="000567AF" w:rsidRDefault="00541507" w:rsidP="000567AF">
      <w:pPr>
        <w:pStyle w:val="Normal1"/>
        <w:spacing w:after="0"/>
        <w:contextualSpacing w:val="0"/>
        <w:rPr>
          <w:sz w:val="24"/>
          <w:szCs w:val="24"/>
        </w:rPr>
      </w:pPr>
      <w:r w:rsidRPr="000567AF">
        <w:rPr>
          <w:sz w:val="24"/>
          <w:szCs w:val="24"/>
        </w:rPr>
        <w:tab/>
      </w:r>
      <w:r w:rsidRPr="000567AF">
        <w:rPr>
          <w:sz w:val="24"/>
          <w:szCs w:val="24"/>
        </w:rPr>
        <w:tab/>
        <w:t xml:space="preserve">Portanto, explicada a importância da taxa Selic como principal mecanismo de controle da inflação e do IPCA como importante indicador de medição da inflação, nas próximas seções os dois temas serão mais bem explicados e seus números utilizados como dados desta pesquisa. </w:t>
      </w:r>
    </w:p>
    <w:p w:rsidR="00756AC2" w:rsidRPr="000567AF" w:rsidRDefault="00541507" w:rsidP="000567AF">
      <w:pPr>
        <w:pStyle w:val="Ttulo1"/>
        <w:numPr>
          <w:ilvl w:val="1"/>
          <w:numId w:val="1"/>
        </w:numPr>
        <w:tabs>
          <w:tab w:val="clear" w:pos="709"/>
          <w:tab w:val="left" w:pos="426"/>
        </w:tabs>
        <w:spacing w:before="0"/>
        <w:ind w:left="420"/>
        <w:rPr>
          <w:b w:val="0"/>
          <w:sz w:val="24"/>
          <w:szCs w:val="24"/>
        </w:rPr>
      </w:pPr>
      <w:bookmarkStart w:id="7" w:name="_2et92p0" w:colFirst="0" w:colLast="0"/>
      <w:bookmarkStart w:id="8" w:name="_Toc2325174"/>
      <w:bookmarkEnd w:id="7"/>
      <w:r w:rsidRPr="000567AF">
        <w:rPr>
          <w:b w:val="0"/>
          <w:sz w:val="24"/>
          <w:szCs w:val="24"/>
        </w:rPr>
        <w:t>Taxa básica de juros de curto prazo – Selic</w:t>
      </w:r>
      <w:bookmarkEnd w:id="8"/>
    </w:p>
    <w:p w:rsidR="00E719A1" w:rsidRPr="000567AF" w:rsidRDefault="00541507" w:rsidP="000567AF">
      <w:pPr>
        <w:pStyle w:val="Normal1"/>
        <w:spacing w:after="0"/>
        <w:contextualSpacing w:val="0"/>
        <w:rPr>
          <w:color w:val="FF0000"/>
          <w:sz w:val="24"/>
          <w:szCs w:val="24"/>
        </w:rPr>
      </w:pPr>
      <w:r w:rsidRPr="000567AF">
        <w:rPr>
          <w:sz w:val="24"/>
          <w:szCs w:val="24"/>
        </w:rPr>
        <w:tab/>
      </w:r>
      <w:r w:rsidR="00E719A1" w:rsidRPr="000567AF">
        <w:rPr>
          <w:sz w:val="24"/>
          <w:szCs w:val="24"/>
        </w:rPr>
        <w:tab/>
        <w:t>Selic significa Sistema Especial de Liquidação e Custódia de Títulos Públicos e é a taxa média ponderada pelo volume das operações de financiamento por um dia das operações realizadas no Sistema Especial de Liquidação e de Custódia (SELIC) na forma de operações compromissadas, lastreadas em títulos públicos federais, as Letras Financeiras do Tesouro (LFTs) (</w:t>
      </w:r>
      <w:hyperlink w:anchor="_4i7ojhp">
        <w:r w:rsidR="00E719A1" w:rsidRPr="000567AF">
          <w:rPr>
            <w:sz w:val="24"/>
            <w:szCs w:val="24"/>
          </w:rPr>
          <w:t>MANHIÇA</w:t>
        </w:r>
        <w:r w:rsidR="008F5857" w:rsidRPr="000567AF">
          <w:rPr>
            <w:sz w:val="24"/>
            <w:szCs w:val="24"/>
          </w:rPr>
          <w:t xml:space="preserve"> </w:t>
        </w:r>
        <w:r w:rsidR="005250B0" w:rsidRPr="000567AF">
          <w:rPr>
            <w:sz w:val="24"/>
            <w:szCs w:val="24"/>
          </w:rPr>
          <w:t>e</w:t>
        </w:r>
        <w:r w:rsidR="00E719A1" w:rsidRPr="000567AF">
          <w:rPr>
            <w:sz w:val="24"/>
            <w:szCs w:val="24"/>
          </w:rPr>
          <w:t xml:space="preserve"> JORGE, 2012</w:t>
        </w:r>
      </w:hyperlink>
      <w:r w:rsidR="00E719A1" w:rsidRPr="000567AF">
        <w:rPr>
          <w:sz w:val="24"/>
          <w:szCs w:val="24"/>
        </w:rPr>
        <w:t>).</w:t>
      </w:r>
    </w:p>
    <w:p w:rsidR="00E719A1" w:rsidRPr="000567AF" w:rsidRDefault="00E719A1" w:rsidP="000567AF">
      <w:pPr>
        <w:pStyle w:val="Normal1"/>
        <w:spacing w:after="0"/>
        <w:contextualSpacing w:val="0"/>
        <w:rPr>
          <w:sz w:val="24"/>
          <w:szCs w:val="24"/>
        </w:rPr>
      </w:pPr>
      <w:r w:rsidRPr="000567AF">
        <w:rPr>
          <w:color w:val="FF0000"/>
          <w:sz w:val="24"/>
          <w:szCs w:val="24"/>
        </w:rPr>
        <w:lastRenderedPageBreak/>
        <w:tab/>
      </w:r>
      <w:r w:rsidRPr="000567AF">
        <w:rPr>
          <w:sz w:val="24"/>
          <w:szCs w:val="24"/>
        </w:rPr>
        <w:t xml:space="preserve">A sigla foi criada em 1979, pelo Banco Central e pela Andima (Associação Nacional das Instituições do Mercado Aberto), com o objetivo de tornar mais transparente e segura a negociação de títulos públicos. </w:t>
      </w:r>
      <w:r w:rsidR="007F7432">
        <w:rPr>
          <w:sz w:val="24"/>
          <w:szCs w:val="24"/>
        </w:rPr>
        <w:t xml:space="preserve">Alem (2018) afirma que a Selic </w:t>
      </w:r>
      <w:r w:rsidRPr="000567AF">
        <w:rPr>
          <w:sz w:val="24"/>
          <w:szCs w:val="24"/>
        </w:rPr>
        <w:t>é a taxa referência para todos os contratos de crédito de uma economia e corresponde à remuneração de que o tesouro nacional paga para aos seus credores.</w:t>
      </w:r>
    </w:p>
    <w:p w:rsidR="00511C59" w:rsidRPr="000567AF" w:rsidRDefault="00E719A1" w:rsidP="000567AF">
      <w:pPr>
        <w:pStyle w:val="Normal1"/>
        <w:spacing w:after="0"/>
        <w:contextualSpacing w:val="0"/>
        <w:rPr>
          <w:sz w:val="24"/>
          <w:szCs w:val="24"/>
        </w:rPr>
      </w:pPr>
      <w:r w:rsidRPr="000567AF">
        <w:rPr>
          <w:sz w:val="24"/>
          <w:szCs w:val="24"/>
        </w:rPr>
        <w:tab/>
      </w:r>
      <w:hyperlink w:anchor="_26in1rg">
        <w:r w:rsidR="00541507" w:rsidRPr="000567AF">
          <w:rPr>
            <w:sz w:val="24"/>
            <w:szCs w:val="24"/>
          </w:rPr>
          <w:t>Alem (2018)</w:t>
        </w:r>
      </w:hyperlink>
      <w:r w:rsidR="00541507" w:rsidRPr="000567AF">
        <w:rPr>
          <w:sz w:val="24"/>
          <w:szCs w:val="24"/>
        </w:rPr>
        <w:t xml:space="preserve"> explica que o B</w:t>
      </w:r>
      <w:r w:rsidR="00D6526E" w:rsidRPr="000567AF">
        <w:rPr>
          <w:sz w:val="24"/>
          <w:szCs w:val="24"/>
        </w:rPr>
        <w:t xml:space="preserve">anco </w:t>
      </w:r>
      <w:r w:rsidR="00541507" w:rsidRPr="000567AF">
        <w:rPr>
          <w:sz w:val="24"/>
          <w:szCs w:val="24"/>
        </w:rPr>
        <w:t>C</w:t>
      </w:r>
      <w:r w:rsidR="00D6526E" w:rsidRPr="000567AF">
        <w:rPr>
          <w:sz w:val="24"/>
          <w:szCs w:val="24"/>
        </w:rPr>
        <w:t>entral</w:t>
      </w:r>
      <w:r w:rsidR="00541507" w:rsidRPr="000567AF">
        <w:rPr>
          <w:sz w:val="24"/>
          <w:szCs w:val="24"/>
        </w:rPr>
        <w:t xml:space="preserve"> do Brasil</w:t>
      </w:r>
      <w:r w:rsidR="00D6526E" w:rsidRPr="000567AF">
        <w:rPr>
          <w:sz w:val="24"/>
          <w:szCs w:val="24"/>
        </w:rPr>
        <w:t xml:space="preserve"> (BCB), por meio do Comitê de Política Monetária (COPOM), </w:t>
      </w:r>
      <w:r w:rsidR="00541507" w:rsidRPr="000567AF">
        <w:rPr>
          <w:sz w:val="24"/>
          <w:szCs w:val="24"/>
        </w:rPr>
        <w:t xml:space="preserve">determina a Selic, por meio do compromisso de comprar e vender </w:t>
      </w:r>
      <w:r w:rsidR="00D6526E" w:rsidRPr="000567AF">
        <w:rPr>
          <w:sz w:val="24"/>
          <w:szCs w:val="24"/>
        </w:rPr>
        <w:t>quaisquer</w:t>
      </w:r>
      <w:r w:rsidR="00541507" w:rsidRPr="000567AF">
        <w:rPr>
          <w:sz w:val="24"/>
          <w:szCs w:val="24"/>
        </w:rPr>
        <w:t>quantidade</w:t>
      </w:r>
      <w:r w:rsidR="00D6526E" w:rsidRPr="000567AF">
        <w:rPr>
          <w:sz w:val="24"/>
          <w:szCs w:val="24"/>
        </w:rPr>
        <w:t>s</w:t>
      </w:r>
      <w:r w:rsidR="00541507" w:rsidRPr="000567AF">
        <w:rPr>
          <w:sz w:val="24"/>
          <w:szCs w:val="24"/>
        </w:rPr>
        <w:t xml:space="preserve"> de títulos públicos dos bancos privados à taxa Selic e dessa maneira estabiliza o mercado de reservas bancárias, fazendo com que os juros do mercado interbancário permaneçam próximos da meta estabelecida pelo </w:t>
      </w:r>
      <w:r w:rsidR="003F528A" w:rsidRPr="000567AF">
        <w:rPr>
          <w:sz w:val="24"/>
          <w:szCs w:val="24"/>
        </w:rPr>
        <w:t>COPOM</w:t>
      </w:r>
      <w:r w:rsidR="00541507" w:rsidRPr="000567AF">
        <w:rPr>
          <w:sz w:val="24"/>
          <w:szCs w:val="24"/>
        </w:rPr>
        <w:t>.</w:t>
      </w:r>
    </w:p>
    <w:p w:rsidR="00756AC2" w:rsidRPr="000567AF" w:rsidRDefault="00511C59" w:rsidP="000567AF">
      <w:pPr>
        <w:pStyle w:val="Normal1"/>
        <w:spacing w:after="0"/>
        <w:contextualSpacing w:val="0"/>
        <w:rPr>
          <w:sz w:val="24"/>
          <w:szCs w:val="24"/>
        </w:rPr>
      </w:pPr>
      <w:r w:rsidRPr="000567AF">
        <w:rPr>
          <w:sz w:val="24"/>
          <w:szCs w:val="24"/>
        </w:rPr>
        <w:tab/>
        <w:t>Quando a Taxa Selic sobe, o custo do dinheiro aumenta e os investimentos são desestimulados na Economia. Esses fatores impactam na geração de empregos, no custo dos produtos e serviços e</w:t>
      </w:r>
      <w:r w:rsidR="009D61F6">
        <w:rPr>
          <w:sz w:val="24"/>
          <w:szCs w:val="24"/>
        </w:rPr>
        <w:t xml:space="preserve"> fazem dessa</w:t>
      </w:r>
      <w:r w:rsidRPr="000567AF">
        <w:rPr>
          <w:sz w:val="24"/>
          <w:szCs w:val="24"/>
        </w:rPr>
        <w:t xml:space="preserve"> taxa de juros </w:t>
      </w:r>
      <w:r w:rsidR="009D61F6">
        <w:rPr>
          <w:sz w:val="24"/>
          <w:szCs w:val="24"/>
        </w:rPr>
        <w:t>um dos principais indicadores n</w:t>
      </w:r>
      <w:r w:rsidRPr="000567AF">
        <w:rPr>
          <w:sz w:val="24"/>
          <w:szCs w:val="24"/>
        </w:rPr>
        <w:t>a economia brasileira.</w:t>
      </w:r>
    </w:p>
    <w:p w:rsidR="00511C59" w:rsidRPr="000567AF" w:rsidRDefault="00541507" w:rsidP="000567AF">
      <w:pPr>
        <w:pStyle w:val="Normal1"/>
        <w:spacing w:after="0"/>
        <w:contextualSpacing w:val="0"/>
        <w:rPr>
          <w:sz w:val="24"/>
          <w:szCs w:val="24"/>
        </w:rPr>
      </w:pPr>
      <w:r w:rsidRPr="000567AF">
        <w:rPr>
          <w:sz w:val="24"/>
          <w:szCs w:val="24"/>
        </w:rPr>
        <w:tab/>
      </w:r>
      <w:r w:rsidRPr="000567AF">
        <w:rPr>
          <w:sz w:val="24"/>
          <w:szCs w:val="24"/>
        </w:rPr>
        <w:tab/>
        <w:t>O Banco Central do Brasil (BC</w:t>
      </w:r>
      <w:r w:rsidR="003F528A" w:rsidRPr="000567AF">
        <w:rPr>
          <w:sz w:val="24"/>
          <w:szCs w:val="24"/>
        </w:rPr>
        <w:t>B</w:t>
      </w:r>
      <w:r w:rsidRPr="000567AF">
        <w:rPr>
          <w:sz w:val="24"/>
          <w:szCs w:val="24"/>
        </w:rPr>
        <w:t>), por meio do Comitê de Política Monetária (Copom), em reuniões a cada 45 dias, controla a taxa Selic conforme as expectativas do mercado (</w:t>
      </w:r>
      <w:hyperlink w:anchor="_3j2qqm3">
        <w:r w:rsidR="007B3230" w:rsidRPr="000567AF">
          <w:rPr>
            <w:sz w:val="24"/>
            <w:szCs w:val="24"/>
          </w:rPr>
          <w:t xml:space="preserve">GREMAUD </w:t>
        </w:r>
        <w:r w:rsidR="005E6147" w:rsidRPr="000567AF">
          <w:rPr>
            <w:sz w:val="24"/>
            <w:szCs w:val="24"/>
          </w:rPr>
          <w:t>et al</w:t>
        </w:r>
        <w:r w:rsidR="007B3230" w:rsidRPr="000567AF">
          <w:rPr>
            <w:sz w:val="24"/>
            <w:szCs w:val="24"/>
          </w:rPr>
          <w:t>., 201</w:t>
        </w:r>
        <w:r w:rsidRPr="000567AF">
          <w:rPr>
            <w:sz w:val="24"/>
            <w:szCs w:val="24"/>
          </w:rPr>
          <w:t>7</w:t>
        </w:r>
      </w:hyperlink>
      <w:r w:rsidRPr="000567AF">
        <w:rPr>
          <w:sz w:val="24"/>
          <w:szCs w:val="24"/>
        </w:rPr>
        <w:t>) e anuncia a tendência – “viés” da taxa de juros até a próxima reunião, sendo “viés de alta, baixa ou viés neutro”.</w:t>
      </w:r>
    </w:p>
    <w:p w:rsidR="00511C59" w:rsidRPr="000567AF" w:rsidRDefault="00511C59" w:rsidP="000567AF">
      <w:pPr>
        <w:pStyle w:val="Normal1"/>
        <w:spacing w:after="0"/>
        <w:contextualSpacing w:val="0"/>
        <w:rPr>
          <w:sz w:val="24"/>
          <w:szCs w:val="24"/>
        </w:rPr>
      </w:pPr>
      <w:r w:rsidRPr="000567AF">
        <w:rPr>
          <w:sz w:val="24"/>
          <w:szCs w:val="24"/>
        </w:rPr>
        <w:tab/>
      </w:r>
      <w:r w:rsidRPr="000567AF">
        <w:rPr>
          <w:sz w:val="24"/>
          <w:szCs w:val="24"/>
        </w:rPr>
        <w:tab/>
        <w:t xml:space="preserve">A taxa que é estipulada nessas reuniões também é chamada de Taxa Selic Meta, para diferenciá-la da Taxa Selic Over que </w:t>
      </w:r>
      <w:r w:rsidR="00A269C9" w:rsidRPr="000567AF">
        <w:rPr>
          <w:sz w:val="24"/>
          <w:szCs w:val="24"/>
        </w:rPr>
        <w:t>é a</w:t>
      </w:r>
      <w:r w:rsidRPr="000567AF">
        <w:rPr>
          <w:sz w:val="24"/>
          <w:szCs w:val="24"/>
        </w:rPr>
        <w:t xml:space="preserve"> média ponderada de todas as operações feitas no Sistema SELIC, lastreadas em Títulos Públicos Federais com prazo de 01 dia. Assim, é estabelecida pelo próprio mercado com base em transações entre instituições financeiras e Banco Central.</w:t>
      </w:r>
    </w:p>
    <w:p w:rsidR="00756AC2" w:rsidRPr="000567AF" w:rsidRDefault="00541507" w:rsidP="000567AF">
      <w:pPr>
        <w:pStyle w:val="Normal1"/>
        <w:spacing w:after="0"/>
        <w:contextualSpacing w:val="0"/>
        <w:rPr>
          <w:sz w:val="24"/>
          <w:szCs w:val="24"/>
        </w:rPr>
      </w:pPr>
      <w:r w:rsidRPr="000567AF">
        <w:rPr>
          <w:sz w:val="24"/>
          <w:szCs w:val="24"/>
        </w:rPr>
        <w:tab/>
      </w:r>
      <w:r w:rsidR="00511C59" w:rsidRPr="000567AF">
        <w:rPr>
          <w:sz w:val="24"/>
          <w:szCs w:val="24"/>
        </w:rPr>
        <w:t>Para determinar a Selic Meta,</w:t>
      </w:r>
      <w:r w:rsidRPr="000567AF">
        <w:rPr>
          <w:sz w:val="24"/>
          <w:szCs w:val="24"/>
        </w:rPr>
        <w:t xml:space="preserve"> Copom utiliza-se do Índice de Preços ao Consumidor Amplo (IPCA) para verificar o risco de a inflação superar a meta e interfere no sistema por meio da política monetária que ajusta a taxa básica de juros (</w:t>
      </w:r>
      <w:hyperlink w:anchor="_35nkun2">
        <w:r w:rsidR="007B3230" w:rsidRPr="000567AF">
          <w:rPr>
            <w:sz w:val="24"/>
            <w:szCs w:val="24"/>
          </w:rPr>
          <w:t>BACHA, 2004</w:t>
        </w:r>
      </w:hyperlink>
      <w:r w:rsidR="007B3230" w:rsidRPr="000567AF">
        <w:rPr>
          <w:sz w:val="24"/>
          <w:szCs w:val="24"/>
        </w:rPr>
        <w:t xml:space="preserve">; </w:t>
      </w:r>
      <w:hyperlink w:anchor="_z337ya">
        <w:r w:rsidR="007B3230" w:rsidRPr="000567AF">
          <w:rPr>
            <w:sz w:val="24"/>
            <w:szCs w:val="24"/>
          </w:rPr>
          <w:t>GREENGARD, 2011</w:t>
        </w:r>
      </w:hyperlink>
      <w:r w:rsidR="007B3230" w:rsidRPr="000567AF">
        <w:rPr>
          <w:sz w:val="24"/>
          <w:szCs w:val="24"/>
        </w:rPr>
        <w:t xml:space="preserve">; </w:t>
      </w:r>
      <w:hyperlink w:anchor="_3j2qqm3">
        <w:r w:rsidR="007B3230" w:rsidRPr="000567AF">
          <w:rPr>
            <w:sz w:val="24"/>
            <w:szCs w:val="24"/>
          </w:rPr>
          <w:t xml:space="preserve">GREMAUD </w:t>
        </w:r>
        <w:r w:rsidR="005E6147" w:rsidRPr="000567AF">
          <w:rPr>
            <w:sz w:val="24"/>
            <w:szCs w:val="24"/>
          </w:rPr>
          <w:t>et al</w:t>
        </w:r>
        <w:r w:rsidR="007B3230" w:rsidRPr="000567AF">
          <w:rPr>
            <w:sz w:val="24"/>
            <w:szCs w:val="24"/>
          </w:rPr>
          <w:t>., 2017</w:t>
        </w:r>
      </w:hyperlink>
      <w:r w:rsidRPr="000567AF">
        <w:rPr>
          <w:sz w:val="24"/>
          <w:szCs w:val="24"/>
        </w:rPr>
        <w:t xml:space="preserve">). </w:t>
      </w:r>
    </w:p>
    <w:p w:rsidR="00756AC2" w:rsidRPr="000567AF" w:rsidRDefault="00541507" w:rsidP="000567AF">
      <w:pPr>
        <w:pStyle w:val="Normal1"/>
        <w:spacing w:after="0"/>
        <w:contextualSpacing w:val="0"/>
        <w:rPr>
          <w:sz w:val="24"/>
          <w:szCs w:val="24"/>
        </w:rPr>
      </w:pPr>
      <w:r w:rsidRPr="000567AF">
        <w:rPr>
          <w:sz w:val="24"/>
          <w:szCs w:val="24"/>
        </w:rPr>
        <w:tab/>
        <w:t>Dessa forma, a Selic é parte de um mecanismo fundamental na construção da estabilidade macroeconômica do Brasil, por meio da coordenação das expectativas do mercado pelo Banco Central (</w:t>
      </w:r>
      <w:hyperlink w:anchor="_2bn6wsx">
        <w:r w:rsidR="007B3230" w:rsidRPr="000567AF">
          <w:rPr>
            <w:sz w:val="24"/>
            <w:szCs w:val="24"/>
          </w:rPr>
          <w:t xml:space="preserve">MINELLA </w:t>
        </w:r>
        <w:r w:rsidR="005E6147" w:rsidRPr="000567AF">
          <w:rPr>
            <w:sz w:val="24"/>
            <w:szCs w:val="24"/>
          </w:rPr>
          <w:t>et al</w:t>
        </w:r>
        <w:r w:rsidR="007B3230" w:rsidRPr="000567AF">
          <w:rPr>
            <w:sz w:val="24"/>
            <w:szCs w:val="24"/>
          </w:rPr>
          <w:t>., 2003</w:t>
        </w:r>
      </w:hyperlink>
      <w:r w:rsidRPr="000567AF">
        <w:rPr>
          <w:sz w:val="24"/>
          <w:szCs w:val="24"/>
        </w:rPr>
        <w:t>).</w:t>
      </w:r>
    </w:p>
    <w:p w:rsidR="00756AC2" w:rsidRPr="000567AF" w:rsidRDefault="00756AC2" w:rsidP="000567AF">
      <w:pPr>
        <w:pStyle w:val="Normal1"/>
        <w:spacing w:after="0"/>
        <w:contextualSpacing w:val="0"/>
        <w:rPr>
          <w:sz w:val="24"/>
          <w:szCs w:val="24"/>
        </w:rPr>
      </w:pPr>
    </w:p>
    <w:p w:rsidR="00756AC2" w:rsidRPr="000567AF" w:rsidRDefault="00541507" w:rsidP="009D61F6">
      <w:pPr>
        <w:pStyle w:val="Ttulo1"/>
        <w:numPr>
          <w:ilvl w:val="1"/>
          <w:numId w:val="5"/>
        </w:numPr>
        <w:tabs>
          <w:tab w:val="clear" w:pos="709"/>
          <w:tab w:val="left" w:pos="426"/>
        </w:tabs>
        <w:spacing w:before="0"/>
        <w:ind w:left="420"/>
        <w:rPr>
          <w:b w:val="0"/>
          <w:sz w:val="24"/>
          <w:szCs w:val="24"/>
        </w:rPr>
      </w:pPr>
      <w:bookmarkStart w:id="9" w:name="_tyjcwt" w:colFirst="0" w:colLast="0"/>
      <w:bookmarkStart w:id="10" w:name="_Toc2325175"/>
      <w:bookmarkEnd w:id="9"/>
      <w:r w:rsidRPr="000567AF">
        <w:rPr>
          <w:b w:val="0"/>
          <w:sz w:val="24"/>
          <w:szCs w:val="24"/>
        </w:rPr>
        <w:t>Índice de Preços ao Consumidor Amplo (IPCA)</w:t>
      </w:r>
      <w:bookmarkEnd w:id="10"/>
    </w:p>
    <w:p w:rsidR="00756AC2" w:rsidRPr="000567AF" w:rsidRDefault="00541507" w:rsidP="000567AF">
      <w:pPr>
        <w:pStyle w:val="Normal1"/>
        <w:spacing w:after="0"/>
        <w:contextualSpacing w:val="0"/>
        <w:rPr>
          <w:sz w:val="24"/>
          <w:szCs w:val="24"/>
        </w:rPr>
      </w:pPr>
      <w:r w:rsidRPr="000567AF">
        <w:rPr>
          <w:sz w:val="24"/>
          <w:szCs w:val="24"/>
        </w:rPr>
        <w:tab/>
        <w:t xml:space="preserve">O Índice de Preços ao Consumidor Amplo (IPCA) é </w:t>
      </w:r>
      <w:r w:rsidR="00421F61" w:rsidRPr="000567AF">
        <w:rPr>
          <w:sz w:val="24"/>
          <w:szCs w:val="24"/>
        </w:rPr>
        <w:t>um índice criado para medir a variação de preços do mercado para o consumidor final. Ele é o índice</w:t>
      </w:r>
      <w:r w:rsidRPr="000567AF">
        <w:rPr>
          <w:sz w:val="24"/>
          <w:szCs w:val="24"/>
        </w:rPr>
        <w:t xml:space="preserve"> oficial </w:t>
      </w:r>
      <w:r w:rsidR="00421F61" w:rsidRPr="000567AF">
        <w:rPr>
          <w:sz w:val="24"/>
          <w:szCs w:val="24"/>
        </w:rPr>
        <w:t>para medição da</w:t>
      </w:r>
      <w:r w:rsidRPr="000567AF">
        <w:rPr>
          <w:sz w:val="24"/>
          <w:szCs w:val="24"/>
        </w:rPr>
        <w:t xml:space="preserve"> inflação no Brasil, utilizado como referência para meta de inflação do país desde a adoção do Regime de Metas de Inflação (RMI) em 1999 (</w:t>
      </w:r>
      <w:hyperlink w:anchor="_44sinio">
        <w:r w:rsidRPr="000567AF">
          <w:rPr>
            <w:sz w:val="24"/>
            <w:szCs w:val="24"/>
          </w:rPr>
          <w:t xml:space="preserve">COUTO </w:t>
        </w:r>
        <w:r w:rsidR="005250B0" w:rsidRPr="000567AF">
          <w:rPr>
            <w:sz w:val="24"/>
            <w:szCs w:val="24"/>
          </w:rPr>
          <w:t>e</w:t>
        </w:r>
        <w:r w:rsidRPr="000567AF">
          <w:rPr>
            <w:sz w:val="24"/>
            <w:szCs w:val="24"/>
          </w:rPr>
          <w:t xml:space="preserve"> FRAGA, 2014</w:t>
        </w:r>
      </w:hyperlink>
      <w:r w:rsidRPr="000567AF">
        <w:rPr>
          <w:sz w:val="24"/>
          <w:szCs w:val="24"/>
        </w:rPr>
        <w:t xml:space="preserve">). </w:t>
      </w:r>
    </w:p>
    <w:p w:rsidR="00756AC2" w:rsidRPr="000567AF" w:rsidRDefault="00541507" w:rsidP="000567AF">
      <w:pPr>
        <w:pStyle w:val="Normal1"/>
        <w:spacing w:after="0"/>
        <w:contextualSpacing w:val="0"/>
        <w:rPr>
          <w:sz w:val="24"/>
          <w:szCs w:val="24"/>
        </w:rPr>
      </w:pPr>
      <w:r w:rsidRPr="000567AF">
        <w:rPr>
          <w:sz w:val="24"/>
          <w:szCs w:val="24"/>
        </w:rPr>
        <w:tab/>
        <w:t xml:space="preserve">O índice é calculado e divulgado mensalmente pelo </w:t>
      </w:r>
      <w:r w:rsidR="000408F1" w:rsidRPr="000567AF">
        <w:rPr>
          <w:sz w:val="24"/>
          <w:szCs w:val="24"/>
        </w:rPr>
        <w:t>Instituto Brasileiro de Geografia e Estatística (</w:t>
      </w:r>
      <w:r w:rsidRPr="000567AF">
        <w:rPr>
          <w:sz w:val="24"/>
          <w:szCs w:val="24"/>
        </w:rPr>
        <w:t>IBGE</w:t>
      </w:r>
      <w:r w:rsidR="000408F1" w:rsidRPr="000567AF">
        <w:rPr>
          <w:sz w:val="24"/>
          <w:szCs w:val="24"/>
        </w:rPr>
        <w:t>)</w:t>
      </w:r>
      <w:r w:rsidRPr="000567AF">
        <w:rPr>
          <w:sz w:val="24"/>
          <w:szCs w:val="24"/>
        </w:rPr>
        <w:t xml:space="preserve">com base nos preços dos </w:t>
      </w:r>
      <w:r w:rsidR="00814500" w:rsidRPr="000567AF">
        <w:rPr>
          <w:sz w:val="24"/>
          <w:szCs w:val="24"/>
        </w:rPr>
        <w:t xml:space="preserve">itens </w:t>
      </w:r>
      <w:r w:rsidRPr="000567AF">
        <w:rPr>
          <w:sz w:val="24"/>
          <w:szCs w:val="24"/>
        </w:rPr>
        <w:t>de alimentação e bebidas, artigos de residência, comunicação, despesas pessoais, educação, habitação, saúde e cuidados pessoais de famílias com rendas de até 40 salários mínimos residentes das áreas urbanas de Belém, Fortaleza, Recife, Salvador, Belo Horizonte, Rio de Janeiro, São Paulo, Curitiba, Porto Alegre, Brasília e município de Goiânia (</w:t>
      </w:r>
      <w:hyperlink w:anchor="_1pxezwc">
        <w:r w:rsidR="007B3230" w:rsidRPr="000567AF">
          <w:rPr>
            <w:sz w:val="24"/>
            <w:szCs w:val="24"/>
          </w:rPr>
          <w:t>VERAS, 2015</w:t>
        </w:r>
      </w:hyperlink>
      <w:r w:rsidRPr="000567AF">
        <w:rPr>
          <w:sz w:val="24"/>
          <w:szCs w:val="24"/>
        </w:rPr>
        <w:t xml:space="preserve">). </w:t>
      </w:r>
    </w:p>
    <w:p w:rsidR="00B7241C" w:rsidRPr="000567AF" w:rsidRDefault="00B7241C" w:rsidP="000567AF">
      <w:pPr>
        <w:pStyle w:val="Normal1"/>
        <w:spacing w:after="0"/>
        <w:contextualSpacing w:val="0"/>
        <w:rPr>
          <w:sz w:val="24"/>
          <w:szCs w:val="24"/>
        </w:rPr>
      </w:pPr>
      <w:r w:rsidRPr="000567AF">
        <w:rPr>
          <w:sz w:val="24"/>
          <w:szCs w:val="24"/>
        </w:rPr>
        <w:tab/>
        <w:t xml:space="preserve">Segundo o IBGE (2019), esse índice de preços tem como unidade de coleta os estabelecimentos comerciais e de prestação de serviços, concessionária de serviços públicos e </w:t>
      </w:r>
      <w:r w:rsidR="00814500" w:rsidRPr="000567AF">
        <w:rPr>
          <w:sz w:val="24"/>
          <w:szCs w:val="24"/>
        </w:rPr>
        <w:t>internet</w:t>
      </w:r>
      <w:r w:rsidRPr="000567AF">
        <w:rPr>
          <w:sz w:val="24"/>
          <w:szCs w:val="24"/>
        </w:rPr>
        <w:t xml:space="preserve"> e sua coleta estende-se, em geral, do dia 01 a 30 do mês de referência.</w:t>
      </w:r>
    </w:p>
    <w:p w:rsidR="00421F61" w:rsidRPr="000567AF" w:rsidRDefault="00421F61" w:rsidP="000567AF">
      <w:pPr>
        <w:pStyle w:val="Normal1"/>
        <w:spacing w:after="0"/>
        <w:contextualSpacing w:val="0"/>
        <w:rPr>
          <w:sz w:val="24"/>
          <w:szCs w:val="24"/>
        </w:rPr>
      </w:pPr>
      <w:r w:rsidRPr="000567AF">
        <w:rPr>
          <w:sz w:val="24"/>
          <w:szCs w:val="24"/>
        </w:rPr>
        <w:tab/>
        <w:t xml:space="preserve">Essa medição influencia diretamente na inflação. O IPCA sobe quando o preço dos produtos e serviços são reajustados para cima, o que indica uma inflação. Já a deflação, ocorre quando o índice IPCA </w:t>
      </w:r>
      <w:r w:rsidR="00B7241C" w:rsidRPr="000567AF">
        <w:rPr>
          <w:sz w:val="24"/>
          <w:szCs w:val="24"/>
        </w:rPr>
        <w:t xml:space="preserve">medido for negativo, ou seja, quando </w:t>
      </w:r>
      <w:r w:rsidRPr="000567AF">
        <w:rPr>
          <w:sz w:val="24"/>
          <w:szCs w:val="24"/>
        </w:rPr>
        <w:t>os preços sobem menos em relação ao mês anterior</w:t>
      </w:r>
      <w:r w:rsidR="00B7241C" w:rsidRPr="000567AF">
        <w:rPr>
          <w:sz w:val="24"/>
          <w:szCs w:val="24"/>
        </w:rPr>
        <w:t>.</w:t>
      </w:r>
    </w:p>
    <w:p w:rsidR="00756AC2" w:rsidRPr="000567AF" w:rsidRDefault="00756AC2" w:rsidP="000567AF">
      <w:pPr>
        <w:pStyle w:val="Normal1"/>
        <w:spacing w:after="0"/>
        <w:contextualSpacing w:val="0"/>
        <w:rPr>
          <w:sz w:val="24"/>
          <w:szCs w:val="24"/>
        </w:rPr>
      </w:pPr>
    </w:p>
    <w:p w:rsidR="00756AC2" w:rsidRPr="000567AF" w:rsidRDefault="00541507" w:rsidP="009D61F6">
      <w:pPr>
        <w:pStyle w:val="Ttulo1"/>
        <w:numPr>
          <w:ilvl w:val="1"/>
          <w:numId w:val="5"/>
        </w:numPr>
        <w:tabs>
          <w:tab w:val="clear" w:pos="709"/>
          <w:tab w:val="left" w:pos="426"/>
        </w:tabs>
        <w:spacing w:before="0"/>
        <w:ind w:left="420"/>
        <w:rPr>
          <w:b w:val="0"/>
          <w:sz w:val="24"/>
          <w:szCs w:val="24"/>
        </w:rPr>
      </w:pPr>
      <w:bookmarkStart w:id="11" w:name="_3dy6vkm" w:colFirst="0" w:colLast="0"/>
      <w:bookmarkStart w:id="12" w:name="_Toc2325176"/>
      <w:bookmarkEnd w:id="11"/>
      <w:r w:rsidRPr="000567AF">
        <w:rPr>
          <w:b w:val="0"/>
          <w:sz w:val="24"/>
          <w:szCs w:val="24"/>
        </w:rPr>
        <w:t>Boletim Focus</w:t>
      </w:r>
      <w:bookmarkEnd w:id="12"/>
    </w:p>
    <w:p w:rsidR="00756AC2" w:rsidRPr="000567AF" w:rsidRDefault="00541507" w:rsidP="000567AF">
      <w:pPr>
        <w:pStyle w:val="Normal1"/>
        <w:spacing w:after="0"/>
        <w:contextualSpacing w:val="0"/>
        <w:rPr>
          <w:sz w:val="24"/>
          <w:szCs w:val="24"/>
        </w:rPr>
      </w:pPr>
      <w:r w:rsidRPr="000567AF">
        <w:rPr>
          <w:sz w:val="24"/>
          <w:szCs w:val="24"/>
        </w:rPr>
        <w:tab/>
        <w:t xml:space="preserve"> Boletim Focus é um relatório elaborado por cerca de 100 renomados economistas e analistas financeiros que atuam no Brasil e divulgado pelo Banco Central, visando a informar projeções semanais sobre indicadores da economia brasileira (</w:t>
      </w:r>
      <w:hyperlink w:anchor="_lnxbz9">
        <w:r w:rsidR="007B3230" w:rsidRPr="000567AF">
          <w:rPr>
            <w:sz w:val="24"/>
            <w:szCs w:val="24"/>
          </w:rPr>
          <w:t>ARAUJO</w:t>
        </w:r>
        <w:r w:rsidR="008F5857" w:rsidRPr="000567AF">
          <w:rPr>
            <w:sz w:val="24"/>
            <w:szCs w:val="24"/>
          </w:rPr>
          <w:t xml:space="preserve"> </w:t>
        </w:r>
        <w:r w:rsidR="005250B0" w:rsidRPr="000567AF">
          <w:rPr>
            <w:sz w:val="24"/>
            <w:szCs w:val="24"/>
          </w:rPr>
          <w:t>e</w:t>
        </w:r>
        <w:r w:rsidR="007B3230" w:rsidRPr="000567AF">
          <w:rPr>
            <w:sz w:val="24"/>
            <w:szCs w:val="24"/>
          </w:rPr>
          <w:t xml:space="preserve"> VICENTE, 2017</w:t>
        </w:r>
      </w:hyperlink>
      <w:r w:rsidR="007B3230" w:rsidRPr="000567AF">
        <w:rPr>
          <w:sz w:val="24"/>
          <w:szCs w:val="24"/>
        </w:rPr>
        <w:t xml:space="preserve">; </w:t>
      </w:r>
      <w:hyperlink w:anchor="_1pxezwc">
        <w:r w:rsidR="007B3230" w:rsidRPr="000567AF">
          <w:rPr>
            <w:sz w:val="24"/>
            <w:szCs w:val="24"/>
          </w:rPr>
          <w:t>VERAS, 2015</w:t>
        </w:r>
      </w:hyperlink>
      <w:r w:rsidRPr="000567AF">
        <w:rPr>
          <w:sz w:val="24"/>
          <w:szCs w:val="24"/>
        </w:rPr>
        <w:t xml:space="preserve">). </w:t>
      </w:r>
    </w:p>
    <w:p w:rsidR="00756AC2" w:rsidRPr="000567AF" w:rsidRDefault="00541507" w:rsidP="000567AF">
      <w:pPr>
        <w:pStyle w:val="Normal1"/>
        <w:spacing w:after="0"/>
        <w:contextualSpacing w:val="0"/>
        <w:rPr>
          <w:sz w:val="24"/>
          <w:szCs w:val="24"/>
        </w:rPr>
      </w:pPr>
      <w:r w:rsidRPr="000567AF">
        <w:rPr>
          <w:sz w:val="24"/>
          <w:szCs w:val="24"/>
        </w:rPr>
        <w:tab/>
        <w:t xml:space="preserve">A divulgação do primeiro Boletim Focus data de 5 de </w:t>
      </w:r>
      <w:r w:rsidR="00814500" w:rsidRPr="000567AF">
        <w:rPr>
          <w:sz w:val="24"/>
          <w:szCs w:val="24"/>
        </w:rPr>
        <w:t>janeiro</w:t>
      </w:r>
      <w:r w:rsidRPr="000567AF">
        <w:rPr>
          <w:sz w:val="24"/>
          <w:szCs w:val="24"/>
        </w:rPr>
        <w:t xml:space="preserve"> de 2001, divulgado, como nos dias atuais, pela Gerência-Executiva de Relacionamento com Investidores – Gerin, um departamento criado no âmbito do Banco Central em </w:t>
      </w:r>
      <w:r w:rsidR="00814500" w:rsidRPr="000567AF">
        <w:rPr>
          <w:sz w:val="24"/>
          <w:szCs w:val="24"/>
        </w:rPr>
        <w:t>abril</w:t>
      </w:r>
      <w:r w:rsidRPr="000567AF">
        <w:rPr>
          <w:sz w:val="24"/>
          <w:szCs w:val="24"/>
        </w:rPr>
        <w:t xml:space="preserve"> de 1999 com a finalidade de aperfeiçoar a comunicação entre o Banco Central do Brasil e o setor privado (</w:t>
      </w:r>
      <w:hyperlink w:anchor="_1ci93xb">
        <w:r w:rsidR="007B3230" w:rsidRPr="000567AF">
          <w:rPr>
            <w:sz w:val="24"/>
            <w:szCs w:val="24"/>
          </w:rPr>
          <w:t>MAZUTTI, 201</w:t>
        </w:r>
        <w:r w:rsidRPr="000567AF">
          <w:rPr>
            <w:sz w:val="24"/>
            <w:szCs w:val="24"/>
          </w:rPr>
          <w:t>0</w:t>
        </w:r>
      </w:hyperlink>
      <w:r w:rsidRPr="000567AF">
        <w:rPr>
          <w:sz w:val="24"/>
          <w:szCs w:val="24"/>
        </w:rPr>
        <w:t xml:space="preserve">). </w:t>
      </w:r>
    </w:p>
    <w:p w:rsidR="00756AC2" w:rsidRPr="000567AF" w:rsidRDefault="00541507" w:rsidP="000567AF">
      <w:pPr>
        <w:pStyle w:val="Normal1"/>
        <w:spacing w:after="0"/>
        <w:contextualSpacing w:val="0"/>
        <w:rPr>
          <w:sz w:val="24"/>
          <w:szCs w:val="24"/>
        </w:rPr>
      </w:pPr>
      <w:r w:rsidRPr="000567AF">
        <w:rPr>
          <w:sz w:val="24"/>
          <w:szCs w:val="24"/>
        </w:rPr>
        <w:lastRenderedPageBreak/>
        <w:tab/>
        <w:t xml:space="preserve">Desde então, esse relatório, divulgado toda segunda-feira pelo </w:t>
      </w:r>
      <w:r w:rsidR="00FC5617" w:rsidRPr="000567AF">
        <w:rPr>
          <w:sz w:val="24"/>
          <w:szCs w:val="24"/>
        </w:rPr>
        <w:t>BCB</w:t>
      </w:r>
      <w:r w:rsidRPr="000567AF">
        <w:rPr>
          <w:sz w:val="24"/>
          <w:szCs w:val="24"/>
        </w:rPr>
        <w:t>, tem sido amplamente utilizado em pesquisas de expectativas de mercado de diversos bancos e empresas não-financeiras, já que sinaliza possíveis decisões futuras do governo em relação à política monetária nacional (</w:t>
      </w:r>
      <w:hyperlink w:anchor="_1ci93xb">
        <w:r w:rsidRPr="000567AF">
          <w:rPr>
            <w:sz w:val="24"/>
            <w:szCs w:val="24"/>
          </w:rPr>
          <w:t>M</w:t>
        </w:r>
        <w:r w:rsidR="007B3230" w:rsidRPr="000567AF">
          <w:rPr>
            <w:sz w:val="24"/>
            <w:szCs w:val="24"/>
          </w:rPr>
          <w:t>AZUTTI, 2010</w:t>
        </w:r>
      </w:hyperlink>
      <w:r w:rsidRPr="000567AF">
        <w:rPr>
          <w:sz w:val="24"/>
          <w:szCs w:val="24"/>
        </w:rPr>
        <w:t>).</w:t>
      </w:r>
    </w:p>
    <w:p w:rsidR="00375ED7" w:rsidRPr="000567AF" w:rsidRDefault="00375ED7" w:rsidP="000567AF">
      <w:pPr>
        <w:pStyle w:val="Normal1"/>
        <w:spacing w:after="0"/>
        <w:contextualSpacing w:val="0"/>
        <w:rPr>
          <w:sz w:val="24"/>
          <w:szCs w:val="24"/>
        </w:rPr>
      </w:pPr>
      <w:r w:rsidRPr="000567AF">
        <w:rPr>
          <w:sz w:val="24"/>
          <w:szCs w:val="24"/>
        </w:rPr>
        <w:tab/>
        <w:t xml:space="preserve">A previsão dos indicadores é realizada com base em informações repassadas pelo Sistema de Expectativas de Mercado, que é uma interface via web, em que instituições financeiras, consultorias e empresas do setor não financeiro colocam as suas expectativas para as diversas variáveis macroeconômicas. Então, a Gerência Executiva de Relacionamento com Investidores (Gerin), setor do Banco Central, recolhe esses dados e prepara o relatório. </w:t>
      </w:r>
    </w:p>
    <w:p w:rsidR="00756AC2" w:rsidRPr="000567AF" w:rsidRDefault="00541507" w:rsidP="000567AF">
      <w:pPr>
        <w:pStyle w:val="Normal1"/>
        <w:spacing w:after="0"/>
        <w:contextualSpacing w:val="0"/>
        <w:rPr>
          <w:sz w:val="24"/>
          <w:szCs w:val="24"/>
        </w:rPr>
      </w:pPr>
      <w:r w:rsidRPr="000567AF">
        <w:rPr>
          <w:sz w:val="24"/>
          <w:szCs w:val="24"/>
        </w:rPr>
        <w:tab/>
        <w:t>Os indicadores considerados mais importantes para o controle da inflação, cujas estimati</w:t>
      </w:r>
      <w:r w:rsidR="00814500" w:rsidRPr="000567AF">
        <w:rPr>
          <w:sz w:val="24"/>
          <w:szCs w:val="24"/>
        </w:rPr>
        <w:t>vas estão presentes no boletim F</w:t>
      </w:r>
      <w:r w:rsidRPr="000567AF">
        <w:rPr>
          <w:sz w:val="24"/>
          <w:szCs w:val="24"/>
        </w:rPr>
        <w:t>ocus são: IPCA, IGP-M, IGP-DI e IPC-Fipe. Além das previsões para taxa de câmbio, meta da taxa SELIC, PIB, dívida líquida, produção industrial, conta corrente, balança comercial, investimento estrangeiro direto e preços administrados (</w:t>
      </w:r>
      <w:hyperlink w:anchor="_1pxezwc">
        <w:r w:rsidRPr="000567AF">
          <w:rPr>
            <w:sz w:val="24"/>
            <w:szCs w:val="24"/>
          </w:rPr>
          <w:t>V</w:t>
        </w:r>
        <w:r w:rsidR="007B3230" w:rsidRPr="000567AF">
          <w:rPr>
            <w:sz w:val="24"/>
            <w:szCs w:val="24"/>
          </w:rPr>
          <w:t>ERAS, 2015</w:t>
        </w:r>
      </w:hyperlink>
      <w:r w:rsidRPr="000567AF">
        <w:rPr>
          <w:sz w:val="24"/>
          <w:szCs w:val="24"/>
        </w:rPr>
        <w:t xml:space="preserve">).   </w:t>
      </w:r>
    </w:p>
    <w:p w:rsidR="00E62716" w:rsidRPr="000567AF" w:rsidRDefault="00541507" w:rsidP="000567AF">
      <w:pPr>
        <w:spacing w:after="0"/>
        <w:contextualSpacing w:val="0"/>
        <w:rPr>
          <w:sz w:val="24"/>
          <w:szCs w:val="24"/>
        </w:rPr>
      </w:pPr>
      <w:r w:rsidRPr="000567AF">
        <w:rPr>
          <w:sz w:val="24"/>
          <w:szCs w:val="24"/>
        </w:rPr>
        <w:tab/>
        <w:t>Quanto ao IPCA, IGP-DI, IGP-M, IPC-Fipe e taxas de câmbio e Selic, no</w:t>
      </w:r>
      <w:r w:rsidR="00803610">
        <w:rPr>
          <w:sz w:val="24"/>
          <w:szCs w:val="24"/>
        </w:rPr>
        <w:t xml:space="preserve"> </w:t>
      </w:r>
      <w:r w:rsidR="00FC5617" w:rsidRPr="000567AF">
        <w:rPr>
          <w:sz w:val="24"/>
          <w:szCs w:val="24"/>
        </w:rPr>
        <w:t xml:space="preserve">Boletim </w:t>
      </w:r>
      <w:r w:rsidRPr="000567AF">
        <w:rPr>
          <w:sz w:val="24"/>
          <w:szCs w:val="24"/>
        </w:rPr>
        <w:t>Focus são apresentadas as previsões para o mês atual, o mês seguinte, para o acumulado do ano e acumul</w:t>
      </w:r>
      <w:r w:rsidR="00A33595" w:rsidRPr="000567AF">
        <w:rPr>
          <w:sz w:val="24"/>
          <w:szCs w:val="24"/>
        </w:rPr>
        <w:t>ado do ano seguinte. Além de</w:t>
      </w:r>
      <w:r w:rsidRPr="000567AF">
        <w:rPr>
          <w:sz w:val="24"/>
          <w:szCs w:val="24"/>
        </w:rPr>
        <w:t xml:space="preserve"> todos esses indicadores</w:t>
      </w:r>
      <w:r w:rsidR="00A33595" w:rsidRPr="000567AF">
        <w:rPr>
          <w:sz w:val="24"/>
          <w:szCs w:val="24"/>
        </w:rPr>
        <w:t>,</w:t>
      </w:r>
      <w:r w:rsidRPr="000567AF">
        <w:rPr>
          <w:sz w:val="24"/>
          <w:szCs w:val="24"/>
        </w:rPr>
        <w:t xml:space="preserve"> as previsões para o ano atual e o seguinte são apresentados para a Meta da Taxa Selic, Dívida</w:t>
      </w:r>
      <w:r w:rsidR="00803610">
        <w:rPr>
          <w:sz w:val="24"/>
          <w:szCs w:val="24"/>
        </w:rPr>
        <w:t xml:space="preserve"> </w:t>
      </w:r>
      <w:r w:rsidR="00814500" w:rsidRPr="000567AF">
        <w:rPr>
          <w:sz w:val="24"/>
          <w:szCs w:val="24"/>
        </w:rPr>
        <w:t>Líquida</w:t>
      </w:r>
      <w:r w:rsidRPr="000567AF">
        <w:rPr>
          <w:sz w:val="24"/>
          <w:szCs w:val="24"/>
        </w:rPr>
        <w:t xml:space="preserve"> do Setor Público, PIB, Produção Industrial, Conta Corrente, Balança Comercial, Investimento Estrangeiro Direto e Preços administrados.</w:t>
      </w:r>
      <w:r w:rsidR="00E62716" w:rsidRPr="000567AF">
        <w:rPr>
          <w:sz w:val="24"/>
          <w:szCs w:val="24"/>
        </w:rPr>
        <w:br w:type="page"/>
      </w:r>
    </w:p>
    <w:p w:rsidR="00756AC2" w:rsidRPr="000567AF" w:rsidRDefault="00756AC2" w:rsidP="000567AF">
      <w:pPr>
        <w:pStyle w:val="Normal1"/>
        <w:spacing w:after="0"/>
        <w:contextualSpacing w:val="0"/>
        <w:rPr>
          <w:sz w:val="24"/>
          <w:szCs w:val="24"/>
        </w:rPr>
      </w:pPr>
    </w:p>
    <w:p w:rsidR="00756AC2" w:rsidRPr="000567AF" w:rsidRDefault="00541507" w:rsidP="009D61F6">
      <w:pPr>
        <w:pStyle w:val="Ttulo1"/>
        <w:numPr>
          <w:ilvl w:val="0"/>
          <w:numId w:val="5"/>
        </w:numPr>
        <w:tabs>
          <w:tab w:val="clear" w:pos="709"/>
          <w:tab w:val="left" w:pos="426"/>
        </w:tabs>
        <w:spacing w:before="0"/>
        <w:ind w:left="378"/>
        <w:rPr>
          <w:sz w:val="24"/>
          <w:szCs w:val="24"/>
        </w:rPr>
      </w:pPr>
      <w:bookmarkStart w:id="13" w:name="_1t3h5sf" w:colFirst="0" w:colLast="0"/>
      <w:bookmarkStart w:id="14" w:name="_Toc2325177"/>
      <w:bookmarkEnd w:id="13"/>
      <w:r w:rsidRPr="000567AF">
        <w:rPr>
          <w:sz w:val="24"/>
          <w:szCs w:val="24"/>
        </w:rPr>
        <w:t>METODOLOGIA</w:t>
      </w:r>
      <w:bookmarkEnd w:id="14"/>
    </w:p>
    <w:p w:rsidR="00C34676" w:rsidRPr="000567AF" w:rsidRDefault="00C34676" w:rsidP="000567AF">
      <w:pPr>
        <w:pStyle w:val="Normal1"/>
        <w:spacing w:after="0"/>
        <w:contextualSpacing w:val="0"/>
        <w:rPr>
          <w:sz w:val="24"/>
          <w:szCs w:val="24"/>
        </w:rPr>
      </w:pPr>
    </w:p>
    <w:p w:rsidR="00756AC2" w:rsidRPr="000567AF" w:rsidRDefault="00541507" w:rsidP="000567AF">
      <w:pPr>
        <w:pStyle w:val="Normal1"/>
        <w:spacing w:after="0"/>
        <w:contextualSpacing w:val="0"/>
        <w:rPr>
          <w:rFonts w:eastAsia="Times"/>
          <w:color w:val="231F20"/>
          <w:sz w:val="24"/>
          <w:szCs w:val="24"/>
        </w:rPr>
      </w:pPr>
      <w:r w:rsidRPr="000567AF">
        <w:rPr>
          <w:sz w:val="24"/>
          <w:szCs w:val="24"/>
        </w:rPr>
        <w:tab/>
        <w:t>Esta é uma pesquisa de natureza descritiva, que procura conhecer a realidade estudada, suas características, seus problemas (</w:t>
      </w:r>
      <w:hyperlink w:anchor="_3as4poj">
        <w:r w:rsidR="007B3230" w:rsidRPr="000567AF">
          <w:rPr>
            <w:sz w:val="24"/>
            <w:szCs w:val="24"/>
          </w:rPr>
          <w:t>TRIVIÑOS, 2001</w:t>
        </w:r>
      </w:hyperlink>
      <w:r w:rsidRPr="000567AF">
        <w:rPr>
          <w:sz w:val="24"/>
          <w:szCs w:val="24"/>
        </w:rPr>
        <w:t xml:space="preserve">). </w:t>
      </w:r>
      <w:r w:rsidRPr="000567AF">
        <w:rPr>
          <w:rFonts w:eastAsia="Times"/>
          <w:color w:val="231F20"/>
          <w:sz w:val="24"/>
          <w:szCs w:val="24"/>
        </w:rPr>
        <w:t>E, segundo a taxonomia de Patton, pode ser classificada como uma pesquisa de avaliação, que envolve sempre uma avaliação sobre o programa, plano, projeto (</w:t>
      </w:r>
      <w:hyperlink w:anchor="_2p2csry">
        <w:r w:rsidRPr="000567AF">
          <w:rPr>
            <w:rFonts w:eastAsia="Times"/>
            <w:color w:val="231F20"/>
            <w:sz w:val="24"/>
            <w:szCs w:val="24"/>
          </w:rPr>
          <w:t>Z</w:t>
        </w:r>
        <w:r w:rsidR="007B3230" w:rsidRPr="000567AF">
          <w:rPr>
            <w:rFonts w:eastAsia="Times"/>
            <w:color w:val="231F20"/>
            <w:sz w:val="24"/>
            <w:szCs w:val="24"/>
          </w:rPr>
          <w:t>ANELLA, 2009</w:t>
        </w:r>
      </w:hyperlink>
      <w:r w:rsidRPr="000567AF">
        <w:rPr>
          <w:rFonts w:eastAsia="Times"/>
          <w:color w:val="231F20"/>
          <w:sz w:val="24"/>
          <w:szCs w:val="24"/>
        </w:rPr>
        <w:t>).</w:t>
      </w:r>
    </w:p>
    <w:p w:rsidR="00511C59" w:rsidRPr="000567AF" w:rsidRDefault="00541507" w:rsidP="000567AF">
      <w:pPr>
        <w:pStyle w:val="Normal1"/>
        <w:spacing w:after="0"/>
        <w:contextualSpacing w:val="0"/>
        <w:rPr>
          <w:sz w:val="24"/>
          <w:szCs w:val="24"/>
        </w:rPr>
      </w:pPr>
      <w:r w:rsidRPr="000567AF">
        <w:rPr>
          <w:rFonts w:eastAsia="Times"/>
          <w:color w:val="231F20"/>
          <w:sz w:val="24"/>
          <w:szCs w:val="24"/>
        </w:rPr>
        <w:tab/>
      </w:r>
      <w:r w:rsidR="00FC5617" w:rsidRPr="000567AF">
        <w:rPr>
          <w:sz w:val="24"/>
          <w:szCs w:val="24"/>
        </w:rPr>
        <w:t xml:space="preserve">Os dados </w:t>
      </w:r>
      <w:r w:rsidRPr="000567AF">
        <w:rPr>
          <w:sz w:val="24"/>
          <w:szCs w:val="24"/>
        </w:rPr>
        <w:t xml:space="preserve">utilizados </w:t>
      </w:r>
      <w:r w:rsidR="00FC5617" w:rsidRPr="000567AF">
        <w:rPr>
          <w:sz w:val="24"/>
          <w:szCs w:val="24"/>
        </w:rPr>
        <w:t>se referem ao</w:t>
      </w:r>
      <w:r w:rsidRPr="000567AF">
        <w:rPr>
          <w:sz w:val="24"/>
          <w:szCs w:val="24"/>
        </w:rPr>
        <w:t xml:space="preserve"> período de janeiro de 200</w:t>
      </w:r>
      <w:r w:rsidR="00157D41">
        <w:rPr>
          <w:sz w:val="24"/>
          <w:szCs w:val="24"/>
        </w:rPr>
        <w:t>8</w:t>
      </w:r>
      <w:r w:rsidRPr="000567AF">
        <w:rPr>
          <w:sz w:val="24"/>
          <w:szCs w:val="24"/>
        </w:rPr>
        <w:t xml:space="preserve"> até dezembro 201</w:t>
      </w:r>
      <w:r w:rsidR="00157D41">
        <w:rPr>
          <w:sz w:val="24"/>
          <w:szCs w:val="24"/>
        </w:rPr>
        <w:t>6</w:t>
      </w:r>
      <w:r w:rsidRPr="000567AF">
        <w:rPr>
          <w:sz w:val="24"/>
          <w:szCs w:val="24"/>
        </w:rPr>
        <w:t xml:space="preserve">. </w:t>
      </w:r>
      <w:r w:rsidR="00FC5617" w:rsidRPr="000567AF">
        <w:rPr>
          <w:sz w:val="24"/>
          <w:szCs w:val="24"/>
        </w:rPr>
        <w:t xml:space="preserve">Os dados são secundários e foram coletadosno </w:t>
      </w:r>
      <w:r w:rsidRPr="000567AF">
        <w:rPr>
          <w:sz w:val="24"/>
          <w:szCs w:val="24"/>
        </w:rPr>
        <w:t>endereço eletrônico da Gerin-BC</w:t>
      </w:r>
      <w:r w:rsidR="00A33595" w:rsidRPr="000567AF">
        <w:rPr>
          <w:sz w:val="24"/>
          <w:szCs w:val="24"/>
        </w:rPr>
        <w:t>B</w:t>
      </w:r>
      <w:r w:rsidRPr="000567AF">
        <w:rPr>
          <w:sz w:val="24"/>
          <w:szCs w:val="24"/>
        </w:rPr>
        <w:t>, no qual são disponibilizados todos os relatórios dos boletins Focu</w:t>
      </w:r>
      <w:r w:rsidR="00A70762">
        <w:rPr>
          <w:sz w:val="24"/>
          <w:szCs w:val="24"/>
        </w:rPr>
        <w:t>s (BACEN, 2019)</w:t>
      </w:r>
      <w:r w:rsidRPr="000567AF">
        <w:rPr>
          <w:sz w:val="24"/>
          <w:szCs w:val="24"/>
        </w:rPr>
        <w:t>. Os dados extraídos desses relatórios foram IPCA e Meta Taxa Selic – Fim de período (%a.a</w:t>
      </w:r>
      <w:r w:rsidR="00511C59" w:rsidRPr="000567AF">
        <w:rPr>
          <w:sz w:val="24"/>
          <w:szCs w:val="24"/>
        </w:rPr>
        <w:t>.)</w:t>
      </w:r>
      <w:r w:rsidR="00803610">
        <w:rPr>
          <w:sz w:val="24"/>
          <w:szCs w:val="24"/>
        </w:rPr>
        <w:t xml:space="preserve"> </w:t>
      </w:r>
      <w:r w:rsidRPr="000567AF">
        <w:rPr>
          <w:sz w:val="24"/>
          <w:szCs w:val="24"/>
        </w:rPr>
        <w:t>para o ano atual e o seguinte</w:t>
      </w:r>
      <w:r w:rsidR="00D37EFA" w:rsidRPr="000567AF">
        <w:rPr>
          <w:sz w:val="24"/>
          <w:szCs w:val="24"/>
        </w:rPr>
        <w:t>.</w:t>
      </w:r>
      <w:r w:rsidRPr="000567AF">
        <w:rPr>
          <w:sz w:val="24"/>
          <w:szCs w:val="24"/>
        </w:rPr>
        <w:t xml:space="preserve"> Os boletins onde foram coletados os dados geralmente são divulgados </w:t>
      </w:r>
      <w:r w:rsidR="00CE7832" w:rsidRPr="000567AF">
        <w:rPr>
          <w:sz w:val="24"/>
          <w:szCs w:val="24"/>
        </w:rPr>
        <w:t>nas segundas</w:t>
      </w:r>
      <w:r w:rsidRPr="000567AF">
        <w:rPr>
          <w:sz w:val="24"/>
          <w:szCs w:val="24"/>
        </w:rPr>
        <w:t xml:space="preserve">-feiras pela manhã, aproximadamente três horas antes da abertura do mercado, com a expectativa de mercado para o IPCA e a Taxa Selic. </w:t>
      </w:r>
      <w:r w:rsidR="00511C59" w:rsidRPr="000567AF">
        <w:rPr>
          <w:sz w:val="24"/>
          <w:szCs w:val="24"/>
        </w:rPr>
        <w:t xml:space="preserve">A taxa Selic utilizada na pesquisa é a Taxa Selic Meta, determinada diretamente pelo Copom. </w:t>
      </w:r>
    </w:p>
    <w:p w:rsidR="00756AC2" w:rsidRPr="000567AF" w:rsidRDefault="00541507" w:rsidP="000567AF">
      <w:pPr>
        <w:pStyle w:val="Normal1"/>
        <w:spacing w:after="0"/>
        <w:contextualSpacing w:val="0"/>
        <w:rPr>
          <w:sz w:val="24"/>
          <w:szCs w:val="24"/>
        </w:rPr>
      </w:pPr>
      <w:r w:rsidRPr="000567AF">
        <w:rPr>
          <w:sz w:val="24"/>
          <w:szCs w:val="24"/>
        </w:rPr>
        <w:tab/>
        <w:t>Os dados sobre os indicadores reais da Selic foram coletados diretamente do endereço eletrônico do Banco Central</w:t>
      </w:r>
      <w:r w:rsidR="00A70762">
        <w:rPr>
          <w:sz w:val="24"/>
          <w:szCs w:val="24"/>
        </w:rPr>
        <w:t xml:space="preserve"> (BACEN, 2019)</w:t>
      </w:r>
      <w:r w:rsidRPr="000567AF">
        <w:rPr>
          <w:sz w:val="24"/>
          <w:szCs w:val="24"/>
        </w:rPr>
        <w:t xml:space="preserve"> e os dados sobre o IPCA real coletados nas séries históricas disponibilizadas no endereço eletrônico do Instituto Brasileiro de Geografia e Estatística – IBG</w:t>
      </w:r>
      <w:r w:rsidR="00A70762">
        <w:rPr>
          <w:sz w:val="24"/>
          <w:szCs w:val="24"/>
        </w:rPr>
        <w:t>E (IBGE, 2019)</w:t>
      </w:r>
      <w:r w:rsidRPr="000567AF">
        <w:rPr>
          <w:sz w:val="24"/>
          <w:szCs w:val="24"/>
        </w:rPr>
        <w:t xml:space="preserve">. </w:t>
      </w:r>
    </w:p>
    <w:p w:rsidR="00D37EFA" w:rsidRPr="000567AF" w:rsidRDefault="00541507" w:rsidP="000567AF">
      <w:pPr>
        <w:pStyle w:val="Normal1"/>
        <w:spacing w:after="0"/>
        <w:contextualSpacing w:val="0"/>
        <w:rPr>
          <w:sz w:val="24"/>
          <w:szCs w:val="24"/>
        </w:rPr>
      </w:pPr>
      <w:r w:rsidRPr="000567AF">
        <w:rPr>
          <w:sz w:val="24"/>
          <w:szCs w:val="24"/>
        </w:rPr>
        <w:tab/>
      </w:r>
      <w:r w:rsidR="00D37EFA" w:rsidRPr="000567AF">
        <w:rPr>
          <w:sz w:val="24"/>
          <w:szCs w:val="24"/>
        </w:rPr>
        <w:t>Planilhas eletrônicas foram utilizadas p</w:t>
      </w:r>
      <w:r w:rsidRPr="000567AF">
        <w:rPr>
          <w:sz w:val="24"/>
          <w:szCs w:val="24"/>
        </w:rPr>
        <w:t>ara apoiar a coleta e análise de dados</w:t>
      </w:r>
      <w:r w:rsidR="00D37EFA" w:rsidRPr="000567AF">
        <w:rPr>
          <w:sz w:val="24"/>
          <w:szCs w:val="24"/>
        </w:rPr>
        <w:t>. Suas funci</w:t>
      </w:r>
      <w:r w:rsidR="00A33595" w:rsidRPr="000567AF">
        <w:rPr>
          <w:sz w:val="24"/>
          <w:szCs w:val="24"/>
        </w:rPr>
        <w:t>onalidades foram</w:t>
      </w:r>
      <w:r w:rsidR="00D37EFA" w:rsidRPr="000567AF">
        <w:rPr>
          <w:sz w:val="24"/>
          <w:szCs w:val="24"/>
        </w:rPr>
        <w:t xml:space="preserve">utilizadas para organizar as informações coletadas e gerar os </w:t>
      </w:r>
      <w:r w:rsidRPr="000567AF">
        <w:rPr>
          <w:sz w:val="24"/>
          <w:szCs w:val="24"/>
        </w:rPr>
        <w:t>gráficos sobre a relação entre as previsões dos boletins e os indicadores reais da Selic e IPCA.</w:t>
      </w:r>
    </w:p>
    <w:p w:rsidR="002D4F43" w:rsidRPr="000567AF" w:rsidRDefault="00D37EFA" w:rsidP="000567AF">
      <w:pPr>
        <w:pStyle w:val="Normal1"/>
        <w:spacing w:after="0"/>
        <w:contextualSpacing w:val="0"/>
        <w:rPr>
          <w:sz w:val="24"/>
          <w:szCs w:val="24"/>
        </w:rPr>
      </w:pPr>
      <w:r w:rsidRPr="000567AF">
        <w:rPr>
          <w:sz w:val="24"/>
          <w:szCs w:val="24"/>
        </w:rPr>
        <w:tab/>
        <w:t>A análise de correlação também foi realizada por meio da planilha eletrônica, executando-se para isso a função "PEARSON"</w:t>
      </w:r>
      <w:r w:rsidR="003729EE" w:rsidRPr="000567AF">
        <w:rPr>
          <w:sz w:val="24"/>
          <w:szCs w:val="24"/>
        </w:rPr>
        <w:t>. Em estatística descritiva, essa função</w:t>
      </w:r>
      <w:r w:rsidR="002D4F43" w:rsidRPr="000567AF">
        <w:rPr>
          <w:sz w:val="24"/>
          <w:szCs w:val="24"/>
        </w:rPr>
        <w:t xml:space="preserve"> é utilizada para medir a associação linear entre duas </w:t>
      </w:r>
      <w:r w:rsidR="00F04914" w:rsidRPr="000567AF">
        <w:rPr>
          <w:sz w:val="24"/>
          <w:szCs w:val="24"/>
        </w:rPr>
        <w:t>variáveis</w:t>
      </w:r>
      <w:r w:rsidR="002D4F43" w:rsidRPr="000567AF">
        <w:rPr>
          <w:sz w:val="24"/>
          <w:szCs w:val="24"/>
        </w:rPr>
        <w:t xml:space="preserve"> (X e Y) (FIGUEIREDO FILHO, 2009), que no caso desta pesquisa são as variáveis que indicam os dados reais e preditivos de cada ano.  A fórmula utilizada para o cálculo é a seguinte:</w:t>
      </w:r>
    </w:p>
    <w:p w:rsidR="002D4F43" w:rsidRPr="000567AF" w:rsidRDefault="002D4F43" w:rsidP="000567AF">
      <w:pPr>
        <w:pStyle w:val="Normal1"/>
        <w:spacing w:after="0"/>
        <w:contextualSpacing w:val="0"/>
        <w:jc w:val="center"/>
        <w:rPr>
          <w:sz w:val="24"/>
          <w:szCs w:val="24"/>
        </w:rPr>
      </w:pPr>
      <w:r w:rsidRPr="000567AF">
        <w:rPr>
          <w:noProof/>
          <w:sz w:val="24"/>
          <w:szCs w:val="24"/>
        </w:rPr>
        <w:lastRenderedPageBreak/>
        <w:drawing>
          <wp:inline distT="0" distB="0" distL="0" distR="0">
            <wp:extent cx="1692232" cy="593766"/>
            <wp:effectExtent l="19050" t="0" r="3218" b="0"/>
            <wp:docPr id="1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l="68946" t="25746" r="19072" b="66791"/>
                    <a:stretch>
                      <a:fillRect/>
                    </a:stretch>
                  </pic:blipFill>
                  <pic:spPr bwMode="auto">
                    <a:xfrm>
                      <a:off x="0" y="0"/>
                      <a:ext cx="1687998" cy="592281"/>
                    </a:xfrm>
                    <a:prstGeom prst="rect">
                      <a:avLst/>
                    </a:prstGeom>
                    <a:noFill/>
                    <a:ln w="9525">
                      <a:noFill/>
                      <a:miter lim="800000"/>
                      <a:headEnd/>
                      <a:tailEnd/>
                    </a:ln>
                  </pic:spPr>
                </pic:pic>
              </a:graphicData>
            </a:graphic>
          </wp:inline>
        </w:drawing>
      </w:r>
    </w:p>
    <w:p w:rsidR="00F74B95" w:rsidRPr="000567AF" w:rsidRDefault="00A231F1" w:rsidP="000567AF">
      <w:pPr>
        <w:pStyle w:val="Normal1"/>
        <w:spacing w:after="0"/>
        <w:contextualSpacing w:val="0"/>
        <w:rPr>
          <w:sz w:val="24"/>
          <w:szCs w:val="24"/>
        </w:rPr>
      </w:pPr>
      <w:r w:rsidRPr="000567AF">
        <w:rPr>
          <w:sz w:val="24"/>
          <w:szCs w:val="24"/>
        </w:rPr>
        <w:tab/>
      </w:r>
      <w:r w:rsidR="00F04914" w:rsidRPr="000567AF">
        <w:rPr>
          <w:sz w:val="24"/>
          <w:szCs w:val="24"/>
        </w:rPr>
        <w:t xml:space="preserve">A aplicação da função PEARSON na planilha eletrônica, </w:t>
      </w:r>
      <w:r w:rsidR="00D37EFA" w:rsidRPr="000567AF">
        <w:rPr>
          <w:sz w:val="24"/>
          <w:szCs w:val="24"/>
        </w:rPr>
        <w:t>retorna o coeficiente</w:t>
      </w:r>
      <w:r w:rsidR="003729EE" w:rsidRPr="000567AF">
        <w:rPr>
          <w:sz w:val="24"/>
          <w:szCs w:val="24"/>
        </w:rPr>
        <w:t xml:space="preserve"> chamado produto-momento Pearson, que varia de -1 a 1 e indica o grau de correlação entre duas variáveis de escala métrica (FIGUEIREDO FILHO, 2009)</w:t>
      </w:r>
      <w:r w:rsidR="002D4F43" w:rsidRPr="000567AF">
        <w:rPr>
          <w:sz w:val="24"/>
          <w:szCs w:val="24"/>
        </w:rPr>
        <w:t xml:space="preserve">. </w:t>
      </w:r>
      <w:r w:rsidR="00F04914" w:rsidRPr="000567AF">
        <w:rPr>
          <w:sz w:val="24"/>
          <w:szCs w:val="24"/>
        </w:rPr>
        <w:t xml:space="preserve">Quanto mais perto de 1, independente do sinal, maior é o grau de dependência estatística linear entre as variáveis. Porém, </w:t>
      </w:r>
      <w:r w:rsidR="00F74B95" w:rsidRPr="000567AF">
        <w:rPr>
          <w:sz w:val="24"/>
          <w:szCs w:val="24"/>
        </w:rPr>
        <w:t xml:space="preserve">uma correlação negativa significa que a dependência é inversa, ou seja, quando uma variável aumenta a outra variável diminui. </w:t>
      </w:r>
    </w:p>
    <w:p w:rsidR="00A231F1" w:rsidRPr="000567AF" w:rsidRDefault="00761FCD" w:rsidP="000567AF">
      <w:pPr>
        <w:pStyle w:val="Normal1"/>
        <w:spacing w:after="0"/>
        <w:rPr>
          <w:sz w:val="24"/>
          <w:szCs w:val="24"/>
        </w:rPr>
      </w:pPr>
      <w:r>
        <w:rPr>
          <w:sz w:val="24"/>
          <w:szCs w:val="24"/>
        </w:rPr>
        <w:tab/>
      </w:r>
      <w:r w:rsidR="00F74B95" w:rsidRPr="000567AF">
        <w:rPr>
          <w:sz w:val="24"/>
          <w:szCs w:val="24"/>
        </w:rPr>
        <w:t xml:space="preserve">Quanto aos graus de </w:t>
      </w:r>
      <w:r w:rsidR="00A33595" w:rsidRPr="000567AF">
        <w:rPr>
          <w:sz w:val="24"/>
          <w:szCs w:val="24"/>
        </w:rPr>
        <w:t>classificação,</w:t>
      </w:r>
      <w:r w:rsidR="00A231F1" w:rsidRPr="000567AF">
        <w:rPr>
          <w:sz w:val="24"/>
          <w:szCs w:val="24"/>
        </w:rPr>
        <w:t xml:space="preserve"> para r = </w:t>
      </w:r>
      <w:r w:rsidRPr="00761FCD">
        <w:rPr>
          <w:sz w:val="24"/>
          <w:szCs w:val="24"/>
        </w:rPr>
        <w:t>0.9 para mais ou para menos in</w:t>
      </w:r>
      <w:r>
        <w:rPr>
          <w:sz w:val="24"/>
          <w:szCs w:val="24"/>
        </w:rPr>
        <w:t xml:space="preserve">dica uma correlação muito forte; para r = </w:t>
      </w:r>
      <w:r w:rsidRPr="00761FCD">
        <w:rPr>
          <w:sz w:val="24"/>
          <w:szCs w:val="24"/>
        </w:rPr>
        <w:t>0.7 a 0.9 positivo ou negativo indica uma correlação forte</w:t>
      </w:r>
      <w:r>
        <w:rPr>
          <w:sz w:val="24"/>
          <w:szCs w:val="24"/>
        </w:rPr>
        <w:t xml:space="preserve">; para valores de </w:t>
      </w:r>
      <w:r w:rsidRPr="00761FCD">
        <w:rPr>
          <w:sz w:val="24"/>
          <w:szCs w:val="24"/>
        </w:rPr>
        <w:t>0.5 a 0.7 positivo ou negativo</w:t>
      </w:r>
      <w:r>
        <w:rPr>
          <w:sz w:val="24"/>
          <w:szCs w:val="24"/>
        </w:rPr>
        <w:t xml:space="preserve"> indica uma correlação moderada; para 0</w:t>
      </w:r>
      <w:r w:rsidRPr="00761FCD">
        <w:rPr>
          <w:sz w:val="24"/>
          <w:szCs w:val="24"/>
        </w:rPr>
        <w:t>.3 a 0.5 positivo ou negat</w:t>
      </w:r>
      <w:r>
        <w:rPr>
          <w:sz w:val="24"/>
          <w:szCs w:val="24"/>
        </w:rPr>
        <w:t>ivo indica uma correlação fraca; e, por fim, para valores entre 0</w:t>
      </w:r>
      <w:r w:rsidRPr="00761FCD">
        <w:rPr>
          <w:sz w:val="24"/>
          <w:szCs w:val="24"/>
        </w:rPr>
        <w:t xml:space="preserve"> </w:t>
      </w:r>
      <w:r>
        <w:rPr>
          <w:sz w:val="24"/>
          <w:szCs w:val="24"/>
        </w:rPr>
        <w:t>e</w:t>
      </w:r>
      <w:r w:rsidRPr="00761FCD">
        <w:rPr>
          <w:sz w:val="24"/>
          <w:szCs w:val="24"/>
        </w:rPr>
        <w:t xml:space="preserve"> 0.3 positivo ou negativo indica uma correlação desprezível.</w:t>
      </w:r>
    </w:p>
    <w:p w:rsidR="00E62716" w:rsidRPr="000567AF" w:rsidRDefault="00A33595" w:rsidP="000567AF">
      <w:pPr>
        <w:spacing w:after="0"/>
        <w:contextualSpacing w:val="0"/>
        <w:rPr>
          <w:sz w:val="24"/>
          <w:szCs w:val="24"/>
        </w:rPr>
      </w:pPr>
      <w:r w:rsidRPr="000567AF">
        <w:rPr>
          <w:sz w:val="24"/>
          <w:szCs w:val="24"/>
        </w:rPr>
        <w:tab/>
      </w:r>
      <w:r w:rsidR="00541507" w:rsidRPr="000567AF">
        <w:rPr>
          <w:sz w:val="24"/>
          <w:szCs w:val="24"/>
        </w:rPr>
        <w:t>Após gerados os gráficos</w:t>
      </w:r>
      <w:r w:rsidR="00A231F1" w:rsidRPr="000567AF">
        <w:rPr>
          <w:sz w:val="24"/>
          <w:szCs w:val="24"/>
        </w:rPr>
        <w:t xml:space="preserve"> e realizada a correlação</w:t>
      </w:r>
      <w:r w:rsidR="00541507" w:rsidRPr="000567AF">
        <w:rPr>
          <w:sz w:val="24"/>
          <w:szCs w:val="24"/>
        </w:rPr>
        <w:t>, os resultados obtidos foram discutidos com base em artigos, trabalhos de conclusão de curso e dissertações relacionadas ao tema.</w:t>
      </w:r>
      <w:r w:rsidR="00E62716" w:rsidRPr="000567AF">
        <w:rPr>
          <w:sz w:val="24"/>
          <w:szCs w:val="24"/>
        </w:rPr>
        <w:br w:type="page"/>
      </w:r>
    </w:p>
    <w:p w:rsidR="00756AC2" w:rsidRPr="000567AF" w:rsidRDefault="00541507" w:rsidP="009D61F6">
      <w:pPr>
        <w:pStyle w:val="Ttulo1"/>
        <w:numPr>
          <w:ilvl w:val="0"/>
          <w:numId w:val="5"/>
        </w:numPr>
        <w:tabs>
          <w:tab w:val="clear" w:pos="709"/>
          <w:tab w:val="left" w:pos="426"/>
        </w:tabs>
        <w:spacing w:before="0"/>
        <w:ind w:left="378"/>
        <w:rPr>
          <w:sz w:val="24"/>
          <w:szCs w:val="24"/>
        </w:rPr>
      </w:pPr>
      <w:bookmarkStart w:id="15" w:name="_4d34og8" w:colFirst="0" w:colLast="0"/>
      <w:bookmarkStart w:id="16" w:name="_Toc2325178"/>
      <w:bookmarkEnd w:id="15"/>
      <w:r w:rsidRPr="000567AF">
        <w:rPr>
          <w:sz w:val="24"/>
          <w:szCs w:val="24"/>
        </w:rPr>
        <w:lastRenderedPageBreak/>
        <w:t>RESULTADOS</w:t>
      </w:r>
      <w:bookmarkEnd w:id="16"/>
    </w:p>
    <w:p w:rsidR="00756AC2" w:rsidRPr="000567AF" w:rsidRDefault="00756AC2" w:rsidP="000567AF">
      <w:pPr>
        <w:pStyle w:val="Normal1"/>
        <w:spacing w:after="0"/>
        <w:contextualSpacing w:val="0"/>
        <w:jc w:val="left"/>
        <w:rPr>
          <w:sz w:val="24"/>
          <w:szCs w:val="24"/>
        </w:rPr>
      </w:pPr>
    </w:p>
    <w:p w:rsidR="00A231F1" w:rsidRPr="000567AF" w:rsidRDefault="00A231F1" w:rsidP="000567AF">
      <w:pPr>
        <w:pStyle w:val="Normal1"/>
        <w:pBdr>
          <w:top w:val="nil"/>
          <w:left w:val="nil"/>
          <w:bottom w:val="nil"/>
          <w:right w:val="nil"/>
          <w:between w:val="nil"/>
        </w:pBdr>
        <w:spacing w:after="0"/>
        <w:contextualSpacing w:val="0"/>
        <w:rPr>
          <w:sz w:val="24"/>
          <w:szCs w:val="24"/>
        </w:rPr>
      </w:pPr>
      <w:r w:rsidRPr="000567AF">
        <w:rPr>
          <w:sz w:val="24"/>
          <w:szCs w:val="24"/>
        </w:rPr>
        <w:tab/>
        <w:t>Na tabela 1, são apresentados os coeficientes de Pearson resultantes da comparação dos da</w:t>
      </w:r>
      <w:r w:rsidR="00A33595" w:rsidRPr="000567AF">
        <w:rPr>
          <w:sz w:val="24"/>
          <w:szCs w:val="24"/>
        </w:rPr>
        <w:t>dos preditivos do Boletim Focus</w:t>
      </w:r>
      <w:r w:rsidRPr="000567AF">
        <w:rPr>
          <w:sz w:val="24"/>
          <w:szCs w:val="24"/>
        </w:rPr>
        <w:t xml:space="preserve"> e os números reais do I</w:t>
      </w:r>
      <w:r w:rsidR="00A33595" w:rsidRPr="000567AF">
        <w:rPr>
          <w:sz w:val="24"/>
          <w:szCs w:val="24"/>
        </w:rPr>
        <w:t xml:space="preserve">PCA e Selic, </w:t>
      </w:r>
      <w:r w:rsidR="00C6027E" w:rsidRPr="000567AF">
        <w:rPr>
          <w:sz w:val="24"/>
          <w:szCs w:val="24"/>
        </w:rPr>
        <w:t xml:space="preserve">auferidos periodicamente, </w:t>
      </w:r>
      <w:r w:rsidR="00A33595" w:rsidRPr="000567AF">
        <w:rPr>
          <w:sz w:val="24"/>
          <w:szCs w:val="24"/>
        </w:rPr>
        <w:t>para os anos de 200</w:t>
      </w:r>
      <w:r w:rsidRPr="000567AF">
        <w:rPr>
          <w:sz w:val="24"/>
          <w:szCs w:val="24"/>
        </w:rPr>
        <w:t xml:space="preserve">8 a 2016. </w:t>
      </w:r>
    </w:p>
    <w:p w:rsidR="00A231F1" w:rsidRPr="000567AF" w:rsidRDefault="00A231F1" w:rsidP="000567AF">
      <w:pPr>
        <w:pStyle w:val="Normal1"/>
        <w:pBdr>
          <w:top w:val="nil"/>
          <w:left w:val="nil"/>
          <w:bottom w:val="nil"/>
          <w:right w:val="nil"/>
          <w:between w:val="nil"/>
        </w:pBdr>
        <w:spacing w:after="0"/>
        <w:contextualSpacing w:val="0"/>
        <w:rPr>
          <w:sz w:val="24"/>
          <w:szCs w:val="24"/>
        </w:rPr>
      </w:pPr>
      <w:r w:rsidRPr="000567AF">
        <w:rPr>
          <w:sz w:val="24"/>
          <w:szCs w:val="24"/>
        </w:rPr>
        <w:t>Tabela 1 Correlação entre os dados reais e preditivos</w:t>
      </w:r>
    </w:p>
    <w:tbl>
      <w:tblPr>
        <w:tblW w:w="5200" w:type="dxa"/>
        <w:jc w:val="center"/>
        <w:shd w:val="clear" w:color="auto" w:fill="FFFFFF" w:themeFill="background1"/>
        <w:tblCellMar>
          <w:left w:w="70" w:type="dxa"/>
          <w:right w:w="70" w:type="dxa"/>
        </w:tblCellMar>
        <w:tblLook w:val="04A0"/>
      </w:tblPr>
      <w:tblGrid>
        <w:gridCol w:w="1494"/>
        <w:gridCol w:w="646"/>
        <w:gridCol w:w="960"/>
        <w:gridCol w:w="1530"/>
        <w:gridCol w:w="570"/>
      </w:tblGrid>
      <w:tr w:rsidR="00A231F1" w:rsidRPr="000567AF" w:rsidTr="00D47CC1">
        <w:trPr>
          <w:trHeight w:val="300"/>
          <w:jc w:val="center"/>
        </w:trPr>
        <w:tc>
          <w:tcPr>
            <w:tcW w:w="214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A231F1" w:rsidRPr="000567AF" w:rsidRDefault="00A231F1" w:rsidP="00A82C1C">
            <w:pPr>
              <w:tabs>
                <w:tab w:val="clear" w:pos="709"/>
              </w:tabs>
              <w:spacing w:after="0"/>
              <w:contextualSpacing w:val="0"/>
              <w:jc w:val="center"/>
              <w:rPr>
                <w:color w:val="000000"/>
                <w:sz w:val="24"/>
                <w:szCs w:val="24"/>
              </w:rPr>
            </w:pPr>
            <w:r w:rsidRPr="000567AF">
              <w:rPr>
                <w:color w:val="000000"/>
                <w:sz w:val="24"/>
                <w:szCs w:val="24"/>
              </w:rPr>
              <w:t xml:space="preserve">IPCA </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210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A231F1" w:rsidRPr="000567AF" w:rsidRDefault="00A231F1" w:rsidP="00A82C1C">
            <w:pPr>
              <w:tabs>
                <w:tab w:val="clear" w:pos="709"/>
              </w:tabs>
              <w:spacing w:after="0"/>
              <w:contextualSpacing w:val="0"/>
              <w:jc w:val="center"/>
              <w:rPr>
                <w:color w:val="000000"/>
                <w:sz w:val="24"/>
                <w:szCs w:val="24"/>
              </w:rPr>
            </w:pPr>
            <w:r w:rsidRPr="000567AF">
              <w:rPr>
                <w:color w:val="000000"/>
                <w:sz w:val="24"/>
                <w:szCs w:val="24"/>
              </w:rPr>
              <w:t xml:space="preserve">SELIC </w:t>
            </w:r>
          </w:p>
        </w:tc>
      </w:tr>
      <w:tr w:rsidR="00A231F1" w:rsidRPr="000567AF" w:rsidTr="00D47CC1">
        <w:trPr>
          <w:trHeight w:val="300"/>
          <w:jc w:val="center"/>
        </w:trPr>
        <w:tc>
          <w:tcPr>
            <w:tcW w:w="1494" w:type="dxa"/>
            <w:tcBorders>
              <w:top w:val="nil"/>
              <w:left w:val="single" w:sz="4" w:space="0" w:color="auto"/>
              <w:bottom w:val="nil"/>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2008</w:t>
            </w:r>
          </w:p>
        </w:tc>
        <w:tc>
          <w:tcPr>
            <w:tcW w:w="646" w:type="dxa"/>
            <w:tcBorders>
              <w:top w:val="nil"/>
              <w:left w:val="nil"/>
              <w:bottom w:val="nil"/>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0,97</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nil"/>
              <w:right w:val="single" w:sz="4" w:space="0" w:color="auto"/>
            </w:tcBorders>
            <w:shd w:val="clear" w:color="auto" w:fill="F2F2F2" w:themeFill="background1" w:themeFillShade="F2"/>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2008</w:t>
            </w:r>
          </w:p>
        </w:tc>
        <w:tc>
          <w:tcPr>
            <w:tcW w:w="570" w:type="dxa"/>
            <w:tcBorders>
              <w:top w:val="nil"/>
              <w:left w:val="nil"/>
              <w:bottom w:val="nil"/>
              <w:right w:val="single" w:sz="4" w:space="0" w:color="auto"/>
            </w:tcBorders>
            <w:shd w:val="clear" w:color="auto" w:fill="F2F2F2" w:themeFill="background1" w:themeFillShade="F2"/>
            <w:noWrap/>
            <w:vAlign w:val="bottom"/>
            <w:hideMark/>
          </w:tcPr>
          <w:p w:rsidR="00A231F1" w:rsidRPr="000567AF" w:rsidRDefault="00A231F1" w:rsidP="00803610">
            <w:pPr>
              <w:tabs>
                <w:tab w:val="clear" w:pos="709"/>
              </w:tabs>
              <w:spacing w:after="0"/>
              <w:contextualSpacing w:val="0"/>
              <w:jc w:val="right"/>
              <w:rPr>
                <w:color w:val="000000"/>
                <w:sz w:val="24"/>
                <w:szCs w:val="24"/>
              </w:rPr>
            </w:pPr>
            <w:r w:rsidRPr="000567AF">
              <w:rPr>
                <w:color w:val="000000"/>
                <w:sz w:val="24"/>
                <w:szCs w:val="24"/>
              </w:rPr>
              <w:t>0,</w:t>
            </w:r>
            <w:r w:rsidR="00803610">
              <w:rPr>
                <w:color w:val="000000"/>
                <w:sz w:val="24"/>
                <w:szCs w:val="24"/>
              </w:rPr>
              <w:t>02</w:t>
            </w:r>
          </w:p>
        </w:tc>
      </w:tr>
      <w:tr w:rsidR="00A231F1" w:rsidRPr="000567AF" w:rsidTr="00D47CC1">
        <w:trPr>
          <w:trHeight w:val="300"/>
          <w:jc w:val="center"/>
        </w:trPr>
        <w:tc>
          <w:tcPr>
            <w:tcW w:w="149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2009</w:t>
            </w:r>
          </w:p>
        </w:tc>
        <w:tc>
          <w:tcPr>
            <w:tcW w:w="646"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0,53</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2009</w:t>
            </w:r>
          </w:p>
        </w:tc>
        <w:tc>
          <w:tcPr>
            <w:tcW w:w="570"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A231F1" w:rsidRPr="000567AF" w:rsidRDefault="00A231F1" w:rsidP="00803610">
            <w:pPr>
              <w:tabs>
                <w:tab w:val="clear" w:pos="709"/>
              </w:tabs>
              <w:spacing w:after="0"/>
              <w:contextualSpacing w:val="0"/>
              <w:jc w:val="right"/>
              <w:rPr>
                <w:color w:val="000000"/>
                <w:sz w:val="24"/>
                <w:szCs w:val="24"/>
              </w:rPr>
            </w:pPr>
            <w:r w:rsidRPr="000567AF">
              <w:rPr>
                <w:color w:val="000000"/>
                <w:sz w:val="24"/>
                <w:szCs w:val="24"/>
              </w:rPr>
              <w:t>0,</w:t>
            </w:r>
            <w:r w:rsidR="00803610">
              <w:rPr>
                <w:color w:val="000000"/>
                <w:sz w:val="24"/>
                <w:szCs w:val="24"/>
              </w:rPr>
              <w:t>20</w:t>
            </w:r>
          </w:p>
        </w:tc>
      </w:tr>
      <w:tr w:rsidR="00A231F1" w:rsidRPr="000567AF" w:rsidTr="00D47CC1">
        <w:trPr>
          <w:trHeight w:val="300"/>
          <w:jc w:val="center"/>
        </w:trPr>
        <w:tc>
          <w:tcPr>
            <w:tcW w:w="149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2010</w:t>
            </w:r>
          </w:p>
        </w:tc>
        <w:tc>
          <w:tcPr>
            <w:tcW w:w="646" w:type="dxa"/>
            <w:tcBorders>
              <w:top w:val="nil"/>
              <w:left w:val="nil"/>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0,63</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2010</w:t>
            </w:r>
          </w:p>
        </w:tc>
        <w:tc>
          <w:tcPr>
            <w:tcW w:w="570" w:type="dxa"/>
            <w:tcBorders>
              <w:top w:val="nil"/>
              <w:left w:val="nil"/>
              <w:bottom w:val="single" w:sz="4" w:space="0" w:color="auto"/>
              <w:right w:val="single" w:sz="4" w:space="0" w:color="auto"/>
            </w:tcBorders>
            <w:shd w:val="clear" w:color="auto" w:fill="F2F2F2" w:themeFill="background1" w:themeFillShade="F2"/>
            <w:noWrap/>
            <w:vAlign w:val="bottom"/>
            <w:hideMark/>
          </w:tcPr>
          <w:p w:rsidR="00A231F1" w:rsidRPr="000567AF" w:rsidRDefault="00A231F1" w:rsidP="00803610">
            <w:pPr>
              <w:tabs>
                <w:tab w:val="clear" w:pos="709"/>
              </w:tabs>
              <w:spacing w:after="0"/>
              <w:contextualSpacing w:val="0"/>
              <w:jc w:val="right"/>
              <w:rPr>
                <w:color w:val="000000"/>
                <w:sz w:val="24"/>
                <w:szCs w:val="24"/>
              </w:rPr>
            </w:pPr>
            <w:r w:rsidRPr="000567AF">
              <w:rPr>
                <w:color w:val="000000"/>
                <w:sz w:val="24"/>
                <w:szCs w:val="24"/>
              </w:rPr>
              <w:t>0,</w:t>
            </w:r>
            <w:r w:rsidR="00803610">
              <w:rPr>
                <w:color w:val="000000"/>
                <w:sz w:val="24"/>
                <w:szCs w:val="24"/>
              </w:rPr>
              <w:t>22</w:t>
            </w:r>
          </w:p>
        </w:tc>
      </w:tr>
      <w:tr w:rsidR="00A231F1" w:rsidRPr="000567AF" w:rsidTr="00D47CC1">
        <w:trPr>
          <w:trHeight w:val="300"/>
          <w:jc w:val="center"/>
        </w:trPr>
        <w:tc>
          <w:tcPr>
            <w:tcW w:w="1494"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2011</w:t>
            </w:r>
          </w:p>
        </w:tc>
        <w:tc>
          <w:tcPr>
            <w:tcW w:w="646"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0,7</w:t>
            </w:r>
            <w:r w:rsidR="00803610">
              <w:rPr>
                <w:color w:val="000000"/>
                <w:sz w:val="24"/>
                <w:szCs w:val="24"/>
              </w:rPr>
              <w:t>2</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2011</w:t>
            </w:r>
          </w:p>
        </w:tc>
        <w:tc>
          <w:tcPr>
            <w:tcW w:w="570" w:type="dxa"/>
            <w:tcBorders>
              <w:top w:val="nil"/>
              <w:left w:val="nil"/>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w:t>
            </w:r>
            <w:r w:rsidR="00803610">
              <w:rPr>
                <w:color w:val="000000"/>
                <w:sz w:val="24"/>
                <w:szCs w:val="24"/>
              </w:rPr>
              <w:t>40</w:t>
            </w:r>
          </w:p>
        </w:tc>
      </w:tr>
      <w:tr w:rsidR="00A231F1" w:rsidRPr="000567AF" w:rsidTr="00D47CC1">
        <w:trPr>
          <w:trHeight w:val="300"/>
          <w:jc w:val="center"/>
        </w:trPr>
        <w:tc>
          <w:tcPr>
            <w:tcW w:w="149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2012</w:t>
            </w:r>
          </w:p>
        </w:tc>
        <w:tc>
          <w:tcPr>
            <w:tcW w:w="646" w:type="dxa"/>
            <w:tcBorders>
              <w:top w:val="nil"/>
              <w:left w:val="nil"/>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0,60</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2012</w:t>
            </w:r>
          </w:p>
        </w:tc>
        <w:tc>
          <w:tcPr>
            <w:tcW w:w="570"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0,9</w:t>
            </w:r>
            <w:r w:rsidR="00803610">
              <w:rPr>
                <w:color w:val="000000"/>
                <w:sz w:val="24"/>
                <w:szCs w:val="24"/>
              </w:rPr>
              <w:t>6</w:t>
            </w:r>
          </w:p>
        </w:tc>
      </w:tr>
      <w:tr w:rsidR="00A231F1" w:rsidRPr="000567AF" w:rsidTr="00D47CC1">
        <w:trPr>
          <w:trHeight w:val="300"/>
          <w:jc w:val="center"/>
        </w:trPr>
        <w:tc>
          <w:tcPr>
            <w:tcW w:w="1494"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A231F1" w:rsidRPr="000567AF" w:rsidRDefault="00A231F1" w:rsidP="000567AF">
            <w:pPr>
              <w:tabs>
                <w:tab w:val="clear" w:pos="709"/>
              </w:tabs>
              <w:spacing w:after="0"/>
              <w:contextualSpacing w:val="0"/>
              <w:jc w:val="center"/>
              <w:rPr>
                <w:color w:val="FF0000"/>
                <w:sz w:val="24"/>
                <w:szCs w:val="24"/>
              </w:rPr>
            </w:pPr>
            <w:r w:rsidRPr="000567AF">
              <w:rPr>
                <w:color w:val="FF0000"/>
                <w:sz w:val="24"/>
                <w:szCs w:val="24"/>
              </w:rPr>
              <w:t>2013</w:t>
            </w:r>
          </w:p>
        </w:tc>
        <w:tc>
          <w:tcPr>
            <w:tcW w:w="646" w:type="dxa"/>
            <w:tcBorders>
              <w:top w:val="nil"/>
              <w:left w:val="nil"/>
              <w:bottom w:val="single" w:sz="4" w:space="0" w:color="auto"/>
              <w:right w:val="single" w:sz="4" w:space="0" w:color="auto"/>
            </w:tcBorders>
            <w:shd w:val="clear" w:color="auto" w:fill="FFFFFF" w:themeFill="background1"/>
            <w:noWrap/>
            <w:vAlign w:val="bottom"/>
            <w:hideMark/>
          </w:tcPr>
          <w:p w:rsidR="00A231F1" w:rsidRPr="000567AF" w:rsidRDefault="00A231F1" w:rsidP="000567AF">
            <w:pPr>
              <w:tabs>
                <w:tab w:val="clear" w:pos="709"/>
              </w:tabs>
              <w:spacing w:after="0"/>
              <w:contextualSpacing w:val="0"/>
              <w:jc w:val="right"/>
              <w:rPr>
                <w:color w:val="FF0000"/>
                <w:sz w:val="24"/>
                <w:szCs w:val="24"/>
              </w:rPr>
            </w:pPr>
            <w:r w:rsidRPr="000567AF">
              <w:rPr>
                <w:color w:val="FF0000"/>
                <w:sz w:val="24"/>
                <w:szCs w:val="24"/>
              </w:rPr>
              <w:t>-0,19</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2013</w:t>
            </w:r>
          </w:p>
        </w:tc>
        <w:tc>
          <w:tcPr>
            <w:tcW w:w="570"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803610">
            <w:pPr>
              <w:tabs>
                <w:tab w:val="clear" w:pos="709"/>
              </w:tabs>
              <w:spacing w:after="0"/>
              <w:contextualSpacing w:val="0"/>
              <w:jc w:val="right"/>
              <w:rPr>
                <w:color w:val="000000"/>
                <w:sz w:val="24"/>
                <w:szCs w:val="24"/>
              </w:rPr>
            </w:pPr>
            <w:r w:rsidRPr="000567AF">
              <w:rPr>
                <w:color w:val="000000"/>
                <w:sz w:val="24"/>
                <w:szCs w:val="24"/>
              </w:rPr>
              <w:t>0,9</w:t>
            </w:r>
            <w:r w:rsidR="00803610">
              <w:rPr>
                <w:color w:val="000000"/>
                <w:sz w:val="24"/>
                <w:szCs w:val="24"/>
              </w:rPr>
              <w:t>1</w:t>
            </w:r>
          </w:p>
        </w:tc>
      </w:tr>
      <w:tr w:rsidR="00A231F1" w:rsidRPr="000567AF" w:rsidTr="00D47CC1">
        <w:trPr>
          <w:trHeight w:val="300"/>
          <w:jc w:val="center"/>
        </w:trPr>
        <w:tc>
          <w:tcPr>
            <w:tcW w:w="1494"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2014</w:t>
            </w:r>
          </w:p>
        </w:tc>
        <w:tc>
          <w:tcPr>
            <w:tcW w:w="646"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0,80</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A82C1C">
            <w:pPr>
              <w:tabs>
                <w:tab w:val="clear" w:pos="709"/>
              </w:tabs>
              <w:spacing w:after="0"/>
              <w:contextualSpacing w:val="0"/>
              <w:jc w:val="center"/>
              <w:rPr>
                <w:color w:val="000000"/>
                <w:sz w:val="24"/>
                <w:szCs w:val="24"/>
              </w:rPr>
            </w:pPr>
            <w:r w:rsidRPr="000567AF">
              <w:rPr>
                <w:color w:val="000000"/>
                <w:sz w:val="24"/>
                <w:szCs w:val="24"/>
              </w:rPr>
              <w:t>2014</w:t>
            </w:r>
          </w:p>
        </w:tc>
        <w:tc>
          <w:tcPr>
            <w:tcW w:w="570" w:type="dxa"/>
            <w:tcBorders>
              <w:top w:val="nil"/>
              <w:left w:val="nil"/>
              <w:bottom w:val="single" w:sz="4" w:space="0" w:color="auto"/>
              <w:right w:val="single" w:sz="4" w:space="0" w:color="auto"/>
            </w:tcBorders>
            <w:shd w:val="clear" w:color="auto" w:fill="BFBFBF" w:themeFill="background1" w:themeFillShade="BF"/>
            <w:noWrap/>
            <w:vAlign w:val="bottom"/>
            <w:hideMark/>
          </w:tcPr>
          <w:p w:rsidR="00A231F1" w:rsidRPr="000567AF" w:rsidRDefault="00A231F1" w:rsidP="00A82C1C">
            <w:pPr>
              <w:tabs>
                <w:tab w:val="clear" w:pos="709"/>
              </w:tabs>
              <w:spacing w:after="0"/>
              <w:contextualSpacing w:val="0"/>
              <w:jc w:val="center"/>
              <w:rPr>
                <w:color w:val="000000"/>
                <w:sz w:val="24"/>
                <w:szCs w:val="24"/>
              </w:rPr>
            </w:pPr>
            <w:r w:rsidRPr="000567AF">
              <w:rPr>
                <w:color w:val="000000"/>
                <w:sz w:val="24"/>
                <w:szCs w:val="24"/>
              </w:rPr>
              <w:t>0,</w:t>
            </w:r>
            <w:r w:rsidR="00803610">
              <w:rPr>
                <w:color w:val="000000"/>
                <w:sz w:val="24"/>
                <w:szCs w:val="24"/>
              </w:rPr>
              <w:t>70</w:t>
            </w:r>
          </w:p>
        </w:tc>
      </w:tr>
      <w:tr w:rsidR="00A231F1" w:rsidRPr="000567AF" w:rsidTr="00D47CC1">
        <w:trPr>
          <w:trHeight w:val="300"/>
          <w:jc w:val="center"/>
        </w:trPr>
        <w:tc>
          <w:tcPr>
            <w:tcW w:w="1494"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2015</w:t>
            </w:r>
          </w:p>
        </w:tc>
        <w:tc>
          <w:tcPr>
            <w:tcW w:w="646"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0,99</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2015</w:t>
            </w:r>
          </w:p>
        </w:tc>
        <w:tc>
          <w:tcPr>
            <w:tcW w:w="570"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803610" w:rsidP="000567AF">
            <w:pPr>
              <w:tabs>
                <w:tab w:val="clear" w:pos="709"/>
              </w:tabs>
              <w:spacing w:after="0"/>
              <w:contextualSpacing w:val="0"/>
              <w:jc w:val="right"/>
              <w:rPr>
                <w:color w:val="000000"/>
                <w:sz w:val="24"/>
                <w:szCs w:val="24"/>
              </w:rPr>
            </w:pPr>
            <w:r>
              <w:rPr>
                <w:color w:val="000000"/>
                <w:sz w:val="24"/>
                <w:szCs w:val="24"/>
              </w:rPr>
              <w:t>0,9</w:t>
            </w:r>
            <w:r w:rsidR="00A231F1" w:rsidRPr="000567AF">
              <w:rPr>
                <w:color w:val="000000"/>
                <w:sz w:val="24"/>
                <w:szCs w:val="24"/>
              </w:rPr>
              <w:t>5</w:t>
            </w:r>
          </w:p>
        </w:tc>
      </w:tr>
      <w:tr w:rsidR="00A231F1" w:rsidRPr="000567AF" w:rsidTr="00D47CC1">
        <w:trPr>
          <w:trHeight w:val="315"/>
          <w:jc w:val="center"/>
        </w:trPr>
        <w:tc>
          <w:tcPr>
            <w:tcW w:w="1494" w:type="dxa"/>
            <w:tcBorders>
              <w:top w:val="nil"/>
              <w:left w:val="single" w:sz="4" w:space="0" w:color="auto"/>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2016</w:t>
            </w:r>
          </w:p>
        </w:tc>
        <w:tc>
          <w:tcPr>
            <w:tcW w:w="646" w:type="dxa"/>
            <w:tcBorders>
              <w:top w:val="nil"/>
              <w:left w:val="nil"/>
              <w:bottom w:val="single" w:sz="4"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0,74</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2016</w:t>
            </w:r>
          </w:p>
        </w:tc>
        <w:tc>
          <w:tcPr>
            <w:tcW w:w="570" w:type="dxa"/>
            <w:tcBorders>
              <w:top w:val="nil"/>
              <w:left w:val="nil"/>
              <w:bottom w:val="single" w:sz="4" w:space="0" w:color="auto"/>
              <w:right w:val="single" w:sz="4" w:space="0" w:color="auto"/>
            </w:tcBorders>
            <w:shd w:val="clear" w:color="auto" w:fill="FFFFFF" w:themeFill="background1"/>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w:t>
            </w:r>
            <w:r w:rsidR="00803610">
              <w:rPr>
                <w:color w:val="000000"/>
                <w:sz w:val="24"/>
                <w:szCs w:val="24"/>
              </w:rPr>
              <w:t>00</w:t>
            </w:r>
          </w:p>
        </w:tc>
      </w:tr>
      <w:tr w:rsidR="00A231F1" w:rsidRPr="000567AF" w:rsidTr="00D47CC1">
        <w:trPr>
          <w:trHeight w:val="315"/>
          <w:jc w:val="center"/>
        </w:trPr>
        <w:tc>
          <w:tcPr>
            <w:tcW w:w="1494" w:type="dxa"/>
            <w:tcBorders>
              <w:top w:val="single" w:sz="8" w:space="0" w:color="auto"/>
              <w:left w:val="single" w:sz="8" w:space="0" w:color="auto"/>
              <w:bottom w:val="single" w:sz="8" w:space="0" w:color="auto"/>
              <w:right w:val="single" w:sz="4"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2008 a 2016</w:t>
            </w:r>
          </w:p>
        </w:tc>
        <w:tc>
          <w:tcPr>
            <w:tcW w:w="646" w:type="dxa"/>
            <w:tcBorders>
              <w:top w:val="single" w:sz="8" w:space="0" w:color="auto"/>
              <w:left w:val="nil"/>
              <w:bottom w:val="single" w:sz="8" w:space="0" w:color="auto"/>
              <w:right w:val="single" w:sz="8" w:space="0" w:color="auto"/>
            </w:tcBorders>
            <w:shd w:val="clear" w:color="auto" w:fill="808080" w:themeFill="background1" w:themeFillShade="80"/>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0,91</w:t>
            </w:r>
          </w:p>
        </w:tc>
        <w:tc>
          <w:tcPr>
            <w:tcW w:w="960" w:type="dxa"/>
            <w:tcBorders>
              <w:top w:val="nil"/>
              <w:left w:val="nil"/>
              <w:bottom w:val="nil"/>
              <w:right w:val="nil"/>
            </w:tcBorders>
            <w:shd w:val="clear" w:color="auto" w:fill="FFFFFF" w:themeFill="background1"/>
            <w:noWrap/>
            <w:vAlign w:val="bottom"/>
            <w:hideMark/>
          </w:tcPr>
          <w:p w:rsidR="00A231F1" w:rsidRPr="000567AF" w:rsidRDefault="00A231F1" w:rsidP="000567AF">
            <w:pPr>
              <w:tabs>
                <w:tab w:val="clear" w:pos="709"/>
              </w:tabs>
              <w:spacing w:after="0"/>
              <w:contextualSpacing w:val="0"/>
              <w:jc w:val="left"/>
              <w:rPr>
                <w:color w:val="000000"/>
                <w:sz w:val="24"/>
                <w:szCs w:val="24"/>
              </w:rPr>
            </w:pPr>
          </w:p>
        </w:tc>
        <w:tc>
          <w:tcPr>
            <w:tcW w:w="1530" w:type="dxa"/>
            <w:tcBorders>
              <w:top w:val="single" w:sz="8" w:space="0" w:color="auto"/>
              <w:left w:val="single" w:sz="8" w:space="0" w:color="auto"/>
              <w:bottom w:val="single" w:sz="8" w:space="0" w:color="auto"/>
              <w:right w:val="single" w:sz="4"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center"/>
              <w:rPr>
                <w:color w:val="000000"/>
                <w:sz w:val="24"/>
                <w:szCs w:val="24"/>
              </w:rPr>
            </w:pPr>
            <w:r w:rsidRPr="000567AF">
              <w:rPr>
                <w:color w:val="000000"/>
                <w:sz w:val="24"/>
                <w:szCs w:val="24"/>
              </w:rPr>
              <w:t>2008 a 2016</w:t>
            </w:r>
          </w:p>
        </w:tc>
        <w:tc>
          <w:tcPr>
            <w:tcW w:w="570" w:type="dxa"/>
            <w:tcBorders>
              <w:top w:val="single" w:sz="8" w:space="0" w:color="auto"/>
              <w:left w:val="nil"/>
              <w:bottom w:val="single" w:sz="8" w:space="0" w:color="auto"/>
              <w:right w:val="single" w:sz="8" w:space="0" w:color="auto"/>
            </w:tcBorders>
            <w:shd w:val="clear" w:color="auto" w:fill="BFBFBF" w:themeFill="background1" w:themeFillShade="BF"/>
            <w:noWrap/>
            <w:vAlign w:val="bottom"/>
            <w:hideMark/>
          </w:tcPr>
          <w:p w:rsidR="00A231F1" w:rsidRPr="000567AF" w:rsidRDefault="00A231F1" w:rsidP="000567AF">
            <w:pPr>
              <w:tabs>
                <w:tab w:val="clear" w:pos="709"/>
              </w:tabs>
              <w:spacing w:after="0"/>
              <w:contextualSpacing w:val="0"/>
              <w:jc w:val="right"/>
              <w:rPr>
                <w:color w:val="000000"/>
                <w:sz w:val="24"/>
                <w:szCs w:val="24"/>
              </w:rPr>
            </w:pPr>
            <w:r w:rsidRPr="000567AF">
              <w:rPr>
                <w:color w:val="000000"/>
                <w:sz w:val="24"/>
                <w:szCs w:val="24"/>
              </w:rPr>
              <w:t>0,</w:t>
            </w:r>
            <w:r w:rsidR="00803610">
              <w:rPr>
                <w:color w:val="000000"/>
                <w:sz w:val="24"/>
                <w:szCs w:val="24"/>
              </w:rPr>
              <w:t>69</w:t>
            </w:r>
          </w:p>
        </w:tc>
      </w:tr>
    </w:tbl>
    <w:p w:rsidR="00A231F1" w:rsidRPr="000567AF" w:rsidRDefault="00D42917" w:rsidP="000567AF">
      <w:pPr>
        <w:pStyle w:val="Normal1"/>
        <w:pBdr>
          <w:top w:val="nil"/>
          <w:left w:val="nil"/>
          <w:bottom w:val="nil"/>
          <w:right w:val="nil"/>
          <w:between w:val="nil"/>
        </w:pBdr>
        <w:spacing w:after="0"/>
        <w:contextualSpacing w:val="0"/>
        <w:rPr>
          <w:sz w:val="24"/>
          <w:szCs w:val="24"/>
        </w:rPr>
      </w:pPr>
      <w:r>
        <w:rPr>
          <w:sz w:val="24"/>
          <w:szCs w:val="24"/>
        </w:rPr>
        <w:t>Fonte: D</w:t>
      </w:r>
      <w:r w:rsidR="00A231F1" w:rsidRPr="000567AF">
        <w:rPr>
          <w:sz w:val="24"/>
          <w:szCs w:val="24"/>
        </w:rPr>
        <w:t>ados da pesquisa (2019)</w:t>
      </w:r>
    </w:p>
    <w:p w:rsidR="00C34676" w:rsidRPr="00D42917" w:rsidRDefault="00F228A5" w:rsidP="000567AF">
      <w:pPr>
        <w:pStyle w:val="Normal1"/>
        <w:pBdr>
          <w:top w:val="nil"/>
          <w:left w:val="nil"/>
          <w:bottom w:val="nil"/>
          <w:right w:val="nil"/>
          <w:between w:val="nil"/>
        </w:pBdr>
        <w:spacing w:after="0"/>
        <w:contextualSpacing w:val="0"/>
        <w:rPr>
          <w:sz w:val="14"/>
          <w:szCs w:val="24"/>
        </w:rPr>
      </w:pPr>
      <w:r w:rsidRPr="000567AF">
        <w:rPr>
          <w:sz w:val="24"/>
          <w:szCs w:val="24"/>
        </w:rPr>
        <w:tab/>
      </w:r>
    </w:p>
    <w:p w:rsidR="00BF2AD1" w:rsidRDefault="00C34676" w:rsidP="000567AF">
      <w:pPr>
        <w:pStyle w:val="Normal1"/>
        <w:pBdr>
          <w:top w:val="nil"/>
          <w:left w:val="nil"/>
          <w:bottom w:val="nil"/>
          <w:right w:val="nil"/>
          <w:between w:val="nil"/>
        </w:pBdr>
        <w:spacing w:after="0"/>
        <w:contextualSpacing w:val="0"/>
        <w:rPr>
          <w:sz w:val="24"/>
          <w:szCs w:val="24"/>
        </w:rPr>
      </w:pPr>
      <w:r w:rsidRPr="000567AF">
        <w:rPr>
          <w:sz w:val="24"/>
          <w:szCs w:val="24"/>
        </w:rPr>
        <w:tab/>
      </w:r>
      <w:r w:rsidR="00F228A5" w:rsidRPr="000567AF">
        <w:rPr>
          <w:sz w:val="24"/>
          <w:szCs w:val="24"/>
        </w:rPr>
        <w:t xml:space="preserve">De um modo geral, a pesquisa Focus do Banco Central do Brasil </w:t>
      </w:r>
      <w:r w:rsidR="00C6027E" w:rsidRPr="000567AF">
        <w:rPr>
          <w:sz w:val="24"/>
          <w:szCs w:val="24"/>
        </w:rPr>
        <w:t xml:space="preserve">é fortemente influenciada pelos valores encontrados mensalmente </w:t>
      </w:r>
      <w:r w:rsidR="00D42917">
        <w:rPr>
          <w:sz w:val="24"/>
          <w:szCs w:val="24"/>
        </w:rPr>
        <w:t>em</w:t>
      </w:r>
      <w:r w:rsidR="00C6027E" w:rsidRPr="000567AF">
        <w:rPr>
          <w:sz w:val="24"/>
          <w:szCs w:val="24"/>
        </w:rPr>
        <w:t xml:space="preserve"> ambos os indicadores</w:t>
      </w:r>
      <w:r w:rsidR="00190D86">
        <w:rPr>
          <w:sz w:val="24"/>
          <w:szCs w:val="24"/>
        </w:rPr>
        <w:t>. Analisando</w:t>
      </w:r>
      <w:r w:rsidR="00F228A5" w:rsidRPr="000567AF">
        <w:rPr>
          <w:sz w:val="24"/>
          <w:szCs w:val="24"/>
        </w:rPr>
        <w:t xml:space="preserve"> todo o período de 2008 a 2016, </w:t>
      </w:r>
      <w:r w:rsidR="00B82417" w:rsidRPr="000567AF">
        <w:rPr>
          <w:sz w:val="24"/>
          <w:szCs w:val="24"/>
        </w:rPr>
        <w:t xml:space="preserve">destaca-se </w:t>
      </w:r>
      <w:r w:rsidR="00157447" w:rsidRPr="000567AF">
        <w:rPr>
          <w:sz w:val="24"/>
          <w:szCs w:val="24"/>
        </w:rPr>
        <w:t xml:space="preserve">que </w:t>
      </w:r>
      <w:r w:rsidR="00F228A5" w:rsidRPr="000567AF">
        <w:rPr>
          <w:sz w:val="24"/>
          <w:szCs w:val="24"/>
        </w:rPr>
        <w:t>a</w:t>
      </w:r>
      <w:r w:rsidR="00A33595" w:rsidRPr="000567AF">
        <w:rPr>
          <w:sz w:val="24"/>
          <w:szCs w:val="24"/>
        </w:rPr>
        <w:t xml:space="preserve"> correlação entre o IPCA real</w:t>
      </w:r>
      <w:r w:rsidR="005E6147" w:rsidRPr="000567AF">
        <w:rPr>
          <w:sz w:val="24"/>
          <w:szCs w:val="24"/>
        </w:rPr>
        <w:t xml:space="preserve"> </w:t>
      </w:r>
      <w:r w:rsidR="00C6027E" w:rsidRPr="000567AF">
        <w:rPr>
          <w:sz w:val="24"/>
          <w:szCs w:val="24"/>
        </w:rPr>
        <w:t xml:space="preserve">mensal </w:t>
      </w:r>
      <w:r w:rsidR="00D47CC1">
        <w:rPr>
          <w:sz w:val="24"/>
          <w:szCs w:val="24"/>
        </w:rPr>
        <w:t>e os dados do Focus apresentou um resultado</w:t>
      </w:r>
      <w:r w:rsidR="00575190">
        <w:rPr>
          <w:sz w:val="24"/>
          <w:szCs w:val="24"/>
        </w:rPr>
        <w:t xml:space="preserve"> muito</w:t>
      </w:r>
      <w:r w:rsidR="00D47CC1">
        <w:rPr>
          <w:sz w:val="24"/>
          <w:szCs w:val="24"/>
        </w:rPr>
        <w:t xml:space="preserve"> forte</w:t>
      </w:r>
      <w:r w:rsidR="00480F79" w:rsidRPr="000567AF">
        <w:rPr>
          <w:sz w:val="24"/>
          <w:szCs w:val="24"/>
        </w:rPr>
        <w:t xml:space="preserve"> (0,91)</w:t>
      </w:r>
      <w:r w:rsidR="00F228A5" w:rsidRPr="000567AF">
        <w:rPr>
          <w:sz w:val="24"/>
          <w:szCs w:val="24"/>
        </w:rPr>
        <w:t>, demonstrando</w:t>
      </w:r>
      <w:r w:rsidR="005E6147" w:rsidRPr="000567AF">
        <w:rPr>
          <w:sz w:val="24"/>
          <w:szCs w:val="24"/>
        </w:rPr>
        <w:t xml:space="preserve"> </w:t>
      </w:r>
      <w:r w:rsidR="00C6027E" w:rsidRPr="000567AF">
        <w:rPr>
          <w:sz w:val="24"/>
          <w:szCs w:val="24"/>
        </w:rPr>
        <w:t>que as previsões para o fim do período foram altamente influenciadas pelas medições auferidas mensalmente</w:t>
      </w:r>
      <w:r w:rsidR="00B82417" w:rsidRPr="000567AF">
        <w:rPr>
          <w:sz w:val="24"/>
          <w:szCs w:val="24"/>
        </w:rPr>
        <w:t xml:space="preserve">. </w:t>
      </w:r>
      <w:r w:rsidR="00BF2AD1" w:rsidRPr="000567AF">
        <w:rPr>
          <w:sz w:val="24"/>
          <w:szCs w:val="24"/>
        </w:rPr>
        <w:t>Considerando a correlaç</w:t>
      </w:r>
      <w:r w:rsidR="00BF2AD1">
        <w:rPr>
          <w:sz w:val="24"/>
          <w:szCs w:val="24"/>
        </w:rPr>
        <w:t xml:space="preserve">ão de valores ano a ano em nenhum dos anos a correlação foi inferior a 0,5, o que demonstra uma correlação </w:t>
      </w:r>
      <w:r w:rsidR="00575190">
        <w:rPr>
          <w:sz w:val="24"/>
          <w:szCs w:val="24"/>
        </w:rPr>
        <w:t xml:space="preserve">forte entre os valores previstos anualmente e os valores reais. </w:t>
      </w:r>
      <w:r w:rsidR="00BF2AD1">
        <w:rPr>
          <w:sz w:val="24"/>
          <w:szCs w:val="24"/>
        </w:rPr>
        <w:t>No ano de 2013</w:t>
      </w:r>
      <w:r w:rsidR="00575190">
        <w:rPr>
          <w:sz w:val="24"/>
          <w:szCs w:val="24"/>
        </w:rPr>
        <w:t>,</w:t>
      </w:r>
      <w:r w:rsidR="00BF2AD1">
        <w:rPr>
          <w:sz w:val="24"/>
          <w:szCs w:val="24"/>
        </w:rPr>
        <w:t xml:space="preserve"> houve uma correlação negativa, o que será explicado em seção seguinte. </w:t>
      </w:r>
    </w:p>
    <w:p w:rsidR="00BF2AD1" w:rsidRDefault="0003688B" w:rsidP="000567AF">
      <w:pPr>
        <w:pStyle w:val="Normal1"/>
        <w:pBdr>
          <w:top w:val="nil"/>
          <w:left w:val="nil"/>
          <w:bottom w:val="nil"/>
          <w:right w:val="nil"/>
          <w:between w:val="nil"/>
        </w:pBdr>
        <w:spacing w:after="0"/>
        <w:contextualSpacing w:val="0"/>
        <w:rPr>
          <w:sz w:val="24"/>
          <w:szCs w:val="24"/>
        </w:rPr>
      </w:pPr>
      <w:r>
        <w:rPr>
          <w:sz w:val="24"/>
          <w:szCs w:val="24"/>
        </w:rPr>
        <w:tab/>
        <w:t>Quanto à correlação entre a previsão e o valor real da Selic</w:t>
      </w:r>
      <w:r w:rsidR="008000BE">
        <w:rPr>
          <w:sz w:val="24"/>
          <w:szCs w:val="24"/>
        </w:rPr>
        <w:t>,</w:t>
      </w:r>
      <w:r>
        <w:rPr>
          <w:sz w:val="24"/>
          <w:szCs w:val="24"/>
        </w:rPr>
        <w:t xml:space="preserve"> os resultados apresentaram uma correlação moderada, mas muito próxima de uma correlação </w:t>
      </w:r>
      <w:r w:rsidR="00575190">
        <w:rPr>
          <w:sz w:val="24"/>
          <w:szCs w:val="24"/>
        </w:rPr>
        <w:t>forte</w:t>
      </w:r>
      <w:r>
        <w:rPr>
          <w:sz w:val="24"/>
          <w:szCs w:val="24"/>
        </w:rPr>
        <w:t xml:space="preserve">. </w:t>
      </w:r>
      <w:r w:rsidR="008000BE">
        <w:rPr>
          <w:sz w:val="24"/>
          <w:szCs w:val="24"/>
        </w:rPr>
        <w:t xml:space="preserve">Porém, as comparações </w:t>
      </w:r>
      <w:r w:rsidR="008000BE">
        <w:rPr>
          <w:sz w:val="24"/>
          <w:szCs w:val="24"/>
        </w:rPr>
        <w:lastRenderedPageBreak/>
        <w:t>entre a Selic real anual e a previsão anual da Selic no Boletim Focus apresentaram correlações fracas. A correlação forte em relação a todo</w:t>
      </w:r>
      <w:r w:rsidR="00BF2AD1">
        <w:rPr>
          <w:sz w:val="24"/>
          <w:szCs w:val="24"/>
        </w:rPr>
        <w:t xml:space="preserve"> o período (2008 a 2016) ocorre</w:t>
      </w:r>
      <w:r w:rsidR="00575190">
        <w:rPr>
          <w:sz w:val="24"/>
          <w:szCs w:val="24"/>
        </w:rPr>
        <w:t>,</w:t>
      </w:r>
      <w:r w:rsidR="00BF2AD1">
        <w:rPr>
          <w:sz w:val="24"/>
          <w:szCs w:val="24"/>
        </w:rPr>
        <w:t xml:space="preserve"> pois</w:t>
      </w:r>
      <w:r w:rsidR="008000BE">
        <w:rPr>
          <w:sz w:val="24"/>
          <w:szCs w:val="24"/>
        </w:rPr>
        <w:t xml:space="preserve"> mesmo </w:t>
      </w:r>
      <w:r w:rsidR="00BF2AD1">
        <w:rPr>
          <w:sz w:val="24"/>
          <w:szCs w:val="24"/>
        </w:rPr>
        <w:t xml:space="preserve">que </w:t>
      </w:r>
      <w:r w:rsidR="008000BE">
        <w:rPr>
          <w:sz w:val="24"/>
          <w:szCs w:val="24"/>
        </w:rPr>
        <w:t>a correlação anual seja fraca, ao final de cada ano</w:t>
      </w:r>
      <w:r w:rsidR="00BF2AD1">
        <w:rPr>
          <w:sz w:val="24"/>
          <w:szCs w:val="24"/>
        </w:rPr>
        <w:t>,</w:t>
      </w:r>
      <w:r w:rsidR="008000BE">
        <w:rPr>
          <w:sz w:val="24"/>
          <w:szCs w:val="24"/>
        </w:rPr>
        <w:t xml:space="preserve"> essa c</w:t>
      </w:r>
      <w:r w:rsidR="00BF2AD1">
        <w:rPr>
          <w:sz w:val="24"/>
          <w:szCs w:val="24"/>
        </w:rPr>
        <w:t xml:space="preserve">orrelação se fortalece, pois </w:t>
      </w:r>
      <w:r w:rsidR="008000BE">
        <w:rPr>
          <w:sz w:val="24"/>
          <w:szCs w:val="24"/>
        </w:rPr>
        <w:t xml:space="preserve">previsões </w:t>
      </w:r>
      <w:r w:rsidR="00BF2AD1">
        <w:rPr>
          <w:sz w:val="24"/>
          <w:szCs w:val="24"/>
        </w:rPr>
        <w:t>realizadas</w:t>
      </w:r>
      <w:r w:rsidR="008000BE">
        <w:rPr>
          <w:sz w:val="24"/>
          <w:szCs w:val="24"/>
        </w:rPr>
        <w:t xml:space="preserve"> em datas mais próximas ao final do ano são mais aproximadas dos valores reais </w:t>
      </w:r>
      <w:r w:rsidR="00BF2AD1">
        <w:rPr>
          <w:sz w:val="24"/>
          <w:szCs w:val="24"/>
        </w:rPr>
        <w:t xml:space="preserve">anuais. Então, considerando-se todas essas aproximações entre a previsão e o valor real ao final de cada ano a correlação ao final do período se fortalece. </w:t>
      </w:r>
    </w:p>
    <w:p w:rsidR="004578A9" w:rsidRPr="000567AF" w:rsidRDefault="00BF2AD1" w:rsidP="00D42917">
      <w:pPr>
        <w:pStyle w:val="Normal1"/>
        <w:pBdr>
          <w:top w:val="nil"/>
          <w:left w:val="nil"/>
          <w:bottom w:val="nil"/>
          <w:right w:val="nil"/>
          <w:between w:val="nil"/>
        </w:pBdr>
        <w:spacing w:after="0"/>
        <w:contextualSpacing w:val="0"/>
        <w:rPr>
          <w:sz w:val="24"/>
          <w:szCs w:val="24"/>
        </w:rPr>
      </w:pPr>
      <w:r>
        <w:rPr>
          <w:sz w:val="24"/>
          <w:szCs w:val="24"/>
        </w:rPr>
        <w:tab/>
        <w:t xml:space="preserve">É </w:t>
      </w:r>
      <w:r w:rsidR="009D68D9" w:rsidRPr="000567AF">
        <w:rPr>
          <w:sz w:val="24"/>
          <w:szCs w:val="24"/>
        </w:rPr>
        <w:t>importante observar</w:t>
      </w:r>
      <w:r w:rsidR="00113A3E" w:rsidRPr="000567AF">
        <w:rPr>
          <w:sz w:val="24"/>
          <w:szCs w:val="24"/>
        </w:rPr>
        <w:t xml:space="preserve"> que as previsões dos economistas se balizam no cenário atual do país e que, exceto em períodos de alta estabilidade, é muito complicado tentar predizer os rumos econômicos com uma acurácia elevada. </w:t>
      </w:r>
      <w:r w:rsidR="00E55502">
        <w:rPr>
          <w:sz w:val="24"/>
          <w:szCs w:val="24"/>
        </w:rPr>
        <w:tab/>
      </w:r>
      <w:r w:rsidR="00AA3567" w:rsidRPr="000567AF">
        <w:rPr>
          <w:sz w:val="24"/>
          <w:szCs w:val="24"/>
        </w:rPr>
        <w:t xml:space="preserve"> </w:t>
      </w:r>
    </w:p>
    <w:p w:rsidR="001824ED" w:rsidRDefault="00BF2AD1" w:rsidP="000567AF">
      <w:pPr>
        <w:pStyle w:val="Normal1"/>
        <w:pBdr>
          <w:top w:val="nil"/>
          <w:left w:val="nil"/>
          <w:bottom w:val="nil"/>
          <w:right w:val="nil"/>
          <w:between w:val="nil"/>
        </w:pBdr>
        <w:spacing w:after="0"/>
        <w:contextualSpacing w:val="0"/>
        <w:rPr>
          <w:sz w:val="24"/>
          <w:szCs w:val="24"/>
        </w:rPr>
      </w:pPr>
      <w:r>
        <w:rPr>
          <w:sz w:val="24"/>
          <w:szCs w:val="24"/>
        </w:rPr>
        <w:tab/>
      </w:r>
      <w:r w:rsidRPr="000567AF">
        <w:rPr>
          <w:sz w:val="24"/>
          <w:szCs w:val="24"/>
        </w:rPr>
        <w:tab/>
      </w:r>
      <w:r>
        <w:rPr>
          <w:sz w:val="24"/>
          <w:szCs w:val="24"/>
        </w:rPr>
        <w:t>Além disso, foi constatado que mais importante que a correlação entre os valores reais e preditivos anuais é a aproximação entre a previsão men</w:t>
      </w:r>
      <w:r w:rsidR="00575190">
        <w:rPr>
          <w:sz w:val="24"/>
          <w:szCs w:val="24"/>
        </w:rPr>
        <w:t>sal do indicador e o valor real</w:t>
      </w:r>
      <w:r>
        <w:rPr>
          <w:sz w:val="24"/>
          <w:szCs w:val="24"/>
        </w:rPr>
        <w:t xml:space="preserve"> do mesmo indicado apurado no final de determinado ano. O valor anual real não pode ser correlacionado com nenhum ou</w:t>
      </w:r>
      <w:r w:rsidR="001824ED">
        <w:rPr>
          <w:sz w:val="24"/>
          <w:szCs w:val="24"/>
        </w:rPr>
        <w:t xml:space="preserve">tro indicador, pois é um valor fixo durante todo ano, inviabilizando a aplicação da fórmula de correlação estatística. </w:t>
      </w:r>
    </w:p>
    <w:p w:rsidR="00756AC2" w:rsidRDefault="001824ED" w:rsidP="000567AF">
      <w:pPr>
        <w:pStyle w:val="Normal1"/>
        <w:pBdr>
          <w:top w:val="nil"/>
          <w:left w:val="nil"/>
          <w:bottom w:val="nil"/>
          <w:right w:val="nil"/>
          <w:between w:val="nil"/>
        </w:pBdr>
        <w:spacing w:after="0"/>
        <w:contextualSpacing w:val="0"/>
        <w:rPr>
          <w:sz w:val="24"/>
          <w:szCs w:val="24"/>
        </w:rPr>
      </w:pPr>
      <w:r>
        <w:rPr>
          <w:sz w:val="24"/>
          <w:szCs w:val="24"/>
        </w:rPr>
        <w:tab/>
        <w:t xml:space="preserve">Essa comparação entre o valor real ao final do período e os indicadores preditivos foram detalhados em </w:t>
      </w:r>
      <w:r w:rsidR="00724C29" w:rsidRPr="000567AF">
        <w:rPr>
          <w:sz w:val="24"/>
          <w:szCs w:val="24"/>
        </w:rPr>
        <w:t xml:space="preserve">gráficos com </w:t>
      </w:r>
      <w:r w:rsidR="00541507" w:rsidRPr="000567AF">
        <w:rPr>
          <w:sz w:val="24"/>
          <w:szCs w:val="24"/>
        </w:rPr>
        <w:t>os dados coletados em ordem cronológica para as projeções de inflação (IPCA) e taxa básica de juros.</w:t>
      </w:r>
    </w:p>
    <w:p w:rsidR="001824ED" w:rsidRDefault="001824ED"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Default="00575190" w:rsidP="000567AF">
      <w:pPr>
        <w:pStyle w:val="Normal1"/>
        <w:pBdr>
          <w:top w:val="nil"/>
          <w:left w:val="nil"/>
          <w:bottom w:val="nil"/>
          <w:right w:val="nil"/>
          <w:between w:val="nil"/>
        </w:pBdr>
        <w:spacing w:after="0"/>
        <w:contextualSpacing w:val="0"/>
        <w:rPr>
          <w:sz w:val="24"/>
          <w:szCs w:val="24"/>
        </w:rPr>
      </w:pPr>
    </w:p>
    <w:p w:rsidR="00575190" w:rsidRPr="000567AF" w:rsidRDefault="00575190" w:rsidP="000567AF">
      <w:pPr>
        <w:pStyle w:val="Normal1"/>
        <w:pBdr>
          <w:top w:val="nil"/>
          <w:left w:val="nil"/>
          <w:bottom w:val="nil"/>
          <w:right w:val="nil"/>
          <w:between w:val="nil"/>
        </w:pBdr>
        <w:spacing w:after="0"/>
        <w:contextualSpacing w:val="0"/>
        <w:rPr>
          <w:sz w:val="24"/>
          <w:szCs w:val="24"/>
        </w:rPr>
      </w:pPr>
    </w:p>
    <w:p w:rsidR="00756AC2" w:rsidRPr="000567AF" w:rsidRDefault="00541507" w:rsidP="000567AF">
      <w:pPr>
        <w:pStyle w:val="Normal1"/>
        <w:pBdr>
          <w:top w:val="nil"/>
          <w:left w:val="nil"/>
          <w:bottom w:val="nil"/>
          <w:right w:val="nil"/>
          <w:between w:val="nil"/>
        </w:pBdr>
        <w:spacing w:after="0"/>
        <w:contextualSpacing w:val="0"/>
        <w:rPr>
          <w:sz w:val="24"/>
          <w:szCs w:val="24"/>
        </w:rPr>
      </w:pPr>
      <w:r w:rsidRPr="000567AF">
        <w:rPr>
          <w:sz w:val="24"/>
          <w:szCs w:val="24"/>
        </w:rPr>
        <w:lastRenderedPageBreak/>
        <w:t>Quadro 1 - Previsões IPCA e Selic 2008</w:t>
      </w:r>
      <w:r w:rsidR="00375ED7" w:rsidRPr="000567AF">
        <w:rPr>
          <w:sz w:val="24"/>
          <w:szCs w:val="24"/>
        </w:rPr>
        <w:t>.</w:t>
      </w:r>
    </w:p>
    <w:tbl>
      <w:tblPr>
        <w:tblStyle w:val="a1"/>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76500"/>
                  <wp:effectExtent l="0" t="0" r="0" b="0"/>
                  <wp:docPr id="1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
                          <a:srcRect/>
                          <a:stretch>
                            <a:fillRect/>
                          </a:stretch>
                        </pic:blipFill>
                        <pic:spPr>
                          <a:xfrm>
                            <a:off x="0" y="0"/>
                            <a:ext cx="4391025" cy="24765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76500"/>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4391025" cy="2476500"/>
                          </a:xfrm>
                          <a:prstGeom prst="rect">
                            <a:avLst/>
                          </a:prstGeom>
                          <a:ln/>
                        </pic:spPr>
                      </pic:pic>
                    </a:graphicData>
                  </a:graphic>
                </wp:inline>
              </w:drawing>
            </w:r>
          </w:p>
        </w:tc>
      </w:tr>
    </w:tbl>
    <w:p w:rsidR="00756AC2"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AF0F10" w:rsidRPr="000567AF" w:rsidRDefault="00BC1003" w:rsidP="000567AF">
      <w:pPr>
        <w:pStyle w:val="Normal1"/>
        <w:spacing w:after="0"/>
        <w:contextualSpacing w:val="0"/>
        <w:rPr>
          <w:sz w:val="24"/>
          <w:szCs w:val="24"/>
        </w:rPr>
      </w:pPr>
      <w:r>
        <w:rPr>
          <w:sz w:val="24"/>
          <w:szCs w:val="24"/>
        </w:rPr>
        <w:tab/>
      </w:r>
      <w:r w:rsidR="00724C29" w:rsidRPr="000567AF">
        <w:rPr>
          <w:sz w:val="24"/>
          <w:szCs w:val="24"/>
        </w:rPr>
        <w:t>No ano de 2008 foi consta</w:t>
      </w:r>
      <w:r w:rsidR="00754886">
        <w:rPr>
          <w:sz w:val="24"/>
          <w:szCs w:val="24"/>
        </w:rPr>
        <w:t>ta</w:t>
      </w:r>
      <w:r w:rsidR="00724C29" w:rsidRPr="000567AF">
        <w:rPr>
          <w:sz w:val="24"/>
          <w:szCs w:val="24"/>
        </w:rPr>
        <w:t xml:space="preserve">da uma correlação </w:t>
      </w:r>
      <w:r w:rsidR="00754886">
        <w:rPr>
          <w:sz w:val="24"/>
          <w:szCs w:val="24"/>
        </w:rPr>
        <w:t xml:space="preserve">muito </w:t>
      </w:r>
      <w:r w:rsidR="00724C29" w:rsidRPr="000567AF">
        <w:rPr>
          <w:sz w:val="24"/>
          <w:szCs w:val="24"/>
        </w:rPr>
        <w:t xml:space="preserve">forte para o IPCA e </w:t>
      </w:r>
      <w:r w:rsidR="00754886">
        <w:rPr>
          <w:sz w:val="24"/>
          <w:szCs w:val="24"/>
        </w:rPr>
        <w:t>desprezível</w:t>
      </w:r>
      <w:r w:rsidR="00724C29" w:rsidRPr="000567AF">
        <w:rPr>
          <w:sz w:val="24"/>
          <w:szCs w:val="24"/>
        </w:rPr>
        <w:t xml:space="preserve"> para a Selic. Notou-se que </w:t>
      </w:r>
      <w:r w:rsidR="00541507" w:rsidRPr="000567AF">
        <w:rPr>
          <w:sz w:val="24"/>
          <w:szCs w:val="24"/>
        </w:rPr>
        <w:t xml:space="preserve">previsões para </w:t>
      </w:r>
      <w:r w:rsidR="00AF0F10">
        <w:rPr>
          <w:sz w:val="24"/>
          <w:szCs w:val="24"/>
        </w:rPr>
        <w:t xml:space="preserve">a </w:t>
      </w:r>
      <w:r w:rsidR="00541507" w:rsidRPr="000567AF">
        <w:rPr>
          <w:sz w:val="24"/>
          <w:szCs w:val="24"/>
        </w:rPr>
        <w:t xml:space="preserve">inflação </w:t>
      </w:r>
      <w:r w:rsidR="00FB04FE" w:rsidRPr="000567AF">
        <w:rPr>
          <w:sz w:val="24"/>
          <w:szCs w:val="24"/>
        </w:rPr>
        <w:t>n</w:t>
      </w:r>
      <w:r w:rsidR="00541507" w:rsidRPr="000567AF">
        <w:rPr>
          <w:sz w:val="24"/>
          <w:szCs w:val="24"/>
        </w:rPr>
        <w:t>este ano foram muito reativas às taxas mensais aufer</w:t>
      </w:r>
      <w:r w:rsidR="00527F8C">
        <w:rPr>
          <w:sz w:val="24"/>
          <w:szCs w:val="24"/>
        </w:rPr>
        <w:t>idas para este indicador</w:t>
      </w:r>
      <w:r w:rsidR="00541507" w:rsidRPr="000567AF">
        <w:rPr>
          <w:sz w:val="24"/>
          <w:szCs w:val="24"/>
        </w:rPr>
        <w:t>, fazendo com que as previsões não fossem muito precisas.</w:t>
      </w:r>
      <w:r w:rsidR="00AF0F10">
        <w:rPr>
          <w:sz w:val="24"/>
          <w:szCs w:val="24"/>
        </w:rPr>
        <w:t xml:space="preserve"> </w:t>
      </w:r>
      <w:r w:rsidR="00527F8C">
        <w:rPr>
          <w:sz w:val="24"/>
          <w:szCs w:val="24"/>
        </w:rPr>
        <w:t>Já</w:t>
      </w:r>
      <w:r w:rsidR="00AF0F10">
        <w:rPr>
          <w:sz w:val="24"/>
          <w:szCs w:val="24"/>
        </w:rPr>
        <w:t xml:space="preserve"> as previsões relativas à Selic anteciparam a </w:t>
      </w:r>
      <w:r w:rsidR="00527F8C">
        <w:rPr>
          <w:sz w:val="24"/>
          <w:szCs w:val="24"/>
        </w:rPr>
        <w:t>elevação da taxa que seria observada no decorrer do ano. As previsões realizadas neste ano ilustram bem o fato de que não é o fato de a correlação ser alta que fará com que as predições para o fim do período sejam confiáveis.</w:t>
      </w:r>
    </w:p>
    <w:p w:rsidR="00756AC2" w:rsidRPr="000567AF" w:rsidRDefault="00541507" w:rsidP="000567AF">
      <w:pPr>
        <w:pStyle w:val="Normal1"/>
        <w:spacing w:after="0"/>
        <w:contextualSpacing w:val="0"/>
        <w:rPr>
          <w:sz w:val="24"/>
          <w:szCs w:val="24"/>
        </w:rPr>
      </w:pPr>
      <w:r w:rsidRPr="000567AF">
        <w:rPr>
          <w:sz w:val="24"/>
          <w:szCs w:val="24"/>
        </w:rPr>
        <w:lastRenderedPageBreak/>
        <w:t>Quadro 2 - Previsões IPCA e Selic 2009</w:t>
      </w:r>
    </w:p>
    <w:tbl>
      <w:tblPr>
        <w:tblStyle w:val="a2"/>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76500"/>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4"/>
                          <a:srcRect/>
                          <a:stretch>
                            <a:fillRect/>
                          </a:stretch>
                        </pic:blipFill>
                        <pic:spPr>
                          <a:xfrm>
                            <a:off x="0" y="0"/>
                            <a:ext cx="4391025" cy="24765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76500"/>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a:stretch>
                            <a:fillRect/>
                          </a:stretch>
                        </pic:blipFill>
                        <pic:spPr>
                          <a:xfrm>
                            <a:off x="0" y="0"/>
                            <a:ext cx="4391025" cy="24765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8F5857" w:rsidRPr="000567AF" w:rsidRDefault="008F5857" w:rsidP="000567AF">
      <w:pPr>
        <w:pStyle w:val="Normal1"/>
        <w:spacing w:after="0"/>
        <w:contextualSpacing w:val="0"/>
        <w:rPr>
          <w:sz w:val="24"/>
          <w:szCs w:val="24"/>
        </w:rPr>
      </w:pPr>
    </w:p>
    <w:p w:rsidR="00D42917" w:rsidRPr="000567AF" w:rsidRDefault="00BC1003" w:rsidP="00D42917">
      <w:pPr>
        <w:pStyle w:val="Normal1"/>
        <w:pBdr>
          <w:top w:val="nil"/>
          <w:left w:val="nil"/>
          <w:bottom w:val="nil"/>
          <w:right w:val="nil"/>
          <w:between w:val="nil"/>
        </w:pBdr>
        <w:spacing w:after="0"/>
        <w:contextualSpacing w:val="0"/>
        <w:rPr>
          <w:sz w:val="24"/>
          <w:szCs w:val="24"/>
        </w:rPr>
      </w:pPr>
      <w:r>
        <w:rPr>
          <w:sz w:val="24"/>
          <w:szCs w:val="24"/>
        </w:rPr>
        <w:tab/>
      </w:r>
      <w:r w:rsidR="003717FD">
        <w:rPr>
          <w:sz w:val="24"/>
          <w:szCs w:val="24"/>
        </w:rPr>
        <w:t>Novamente a correlação foi desprezível na previsão para a Selic</w:t>
      </w:r>
      <w:r w:rsidR="00D42917" w:rsidRPr="000567AF">
        <w:rPr>
          <w:sz w:val="24"/>
          <w:szCs w:val="24"/>
        </w:rPr>
        <w:t>,</w:t>
      </w:r>
      <w:r w:rsidR="00D42917">
        <w:rPr>
          <w:sz w:val="24"/>
          <w:szCs w:val="24"/>
        </w:rPr>
        <w:t xml:space="preserve"> quando</w:t>
      </w:r>
      <w:r w:rsidR="00D42917" w:rsidRPr="000567AF">
        <w:rPr>
          <w:sz w:val="24"/>
          <w:szCs w:val="24"/>
        </w:rPr>
        <w:t xml:space="preserve"> a estimativa dos economistas que realizam o boletim Focus antecipou a queda da taxa básica de juros que aconteceu alguns meses depois, dando a impressão de que o próprio boletim tenha influenciado a queda da taxa básica de juros.</w:t>
      </w:r>
    </w:p>
    <w:p w:rsidR="00756AC2" w:rsidRPr="000567AF" w:rsidRDefault="00BC1003" w:rsidP="000567AF">
      <w:pPr>
        <w:pStyle w:val="Normal1"/>
        <w:spacing w:after="0"/>
        <w:contextualSpacing w:val="0"/>
        <w:rPr>
          <w:sz w:val="24"/>
          <w:szCs w:val="24"/>
        </w:rPr>
      </w:pPr>
      <w:r>
        <w:rPr>
          <w:sz w:val="24"/>
          <w:szCs w:val="24"/>
        </w:rPr>
        <w:lastRenderedPageBreak/>
        <w:tab/>
      </w:r>
      <w:r w:rsidR="00541507" w:rsidRPr="000567AF">
        <w:rPr>
          <w:sz w:val="24"/>
          <w:szCs w:val="24"/>
        </w:rPr>
        <w:t>As previsões para inflação, tanto do ano anterior quanto do corrente, apresentaram uma boa precisão, nunca apresentando uma diferença de mais de 1% para o valor real. Mesmo a inflação acumulada até o i</w:t>
      </w:r>
      <w:r w:rsidR="004578A9" w:rsidRPr="000567AF">
        <w:rPr>
          <w:sz w:val="24"/>
          <w:szCs w:val="24"/>
        </w:rPr>
        <w:t>nício de 2009 estando próximo a</w:t>
      </w:r>
      <w:r w:rsidR="00541507" w:rsidRPr="000567AF">
        <w:rPr>
          <w:sz w:val="24"/>
          <w:szCs w:val="24"/>
        </w:rPr>
        <w:t xml:space="preserve"> 6% a.a., as previsões para a inflação já apontavam valores abaixo de 5%. A expectativa para a Selic não foi muito precisa nas previsões realizadas em 2008, mas anteciparam em alguns meses a redução apresentada em agosto de 2009.</w:t>
      </w:r>
    </w:p>
    <w:p w:rsidR="00756AC2" w:rsidRPr="00575190" w:rsidRDefault="00756AC2" w:rsidP="000567AF">
      <w:pPr>
        <w:pStyle w:val="Normal1"/>
        <w:spacing w:after="0"/>
        <w:contextualSpacing w:val="0"/>
        <w:jc w:val="left"/>
        <w:rPr>
          <w:sz w:val="12"/>
          <w:szCs w:val="24"/>
        </w:rPr>
      </w:pPr>
    </w:p>
    <w:p w:rsidR="00756AC2" w:rsidRPr="000567AF" w:rsidRDefault="00541507" w:rsidP="000567AF">
      <w:pPr>
        <w:pStyle w:val="Normal1"/>
        <w:spacing w:after="0"/>
        <w:contextualSpacing w:val="0"/>
        <w:rPr>
          <w:sz w:val="24"/>
          <w:szCs w:val="24"/>
        </w:rPr>
      </w:pPr>
      <w:r w:rsidRPr="000567AF">
        <w:rPr>
          <w:sz w:val="24"/>
          <w:szCs w:val="24"/>
        </w:rPr>
        <w:t>Quadro 3 - Previsões IPCA e Selic 2010</w:t>
      </w:r>
    </w:p>
    <w:tbl>
      <w:tblPr>
        <w:tblStyle w:val="a3"/>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765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4391025" cy="24765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76500"/>
                  <wp:effectExtent l="0" t="0" r="0" b="0"/>
                  <wp:docPr id="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7"/>
                          <a:srcRect/>
                          <a:stretch>
                            <a:fillRect/>
                          </a:stretch>
                        </pic:blipFill>
                        <pic:spPr>
                          <a:xfrm>
                            <a:off x="0" y="0"/>
                            <a:ext cx="4391025" cy="24765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756AC2" w:rsidRPr="000567AF" w:rsidRDefault="00BC1003" w:rsidP="000567AF">
      <w:pPr>
        <w:pStyle w:val="Normal1"/>
        <w:spacing w:after="0"/>
        <w:contextualSpacing w:val="0"/>
        <w:rPr>
          <w:sz w:val="24"/>
          <w:szCs w:val="24"/>
        </w:rPr>
      </w:pPr>
      <w:r>
        <w:rPr>
          <w:sz w:val="24"/>
          <w:szCs w:val="24"/>
        </w:rPr>
        <w:lastRenderedPageBreak/>
        <w:tab/>
        <w:t>N</w:t>
      </w:r>
      <w:r w:rsidR="00541507" w:rsidRPr="000567AF">
        <w:rPr>
          <w:sz w:val="24"/>
          <w:szCs w:val="24"/>
        </w:rPr>
        <w:t>este ano, as previsões não apresentaram diferença muito significativa para o valor real ao fim deste período para nenhum dos dois indicadores.</w:t>
      </w:r>
    </w:p>
    <w:p w:rsidR="00575190" w:rsidRDefault="00575190" w:rsidP="000567AF">
      <w:pPr>
        <w:pStyle w:val="Normal1"/>
        <w:spacing w:after="0"/>
        <w:contextualSpacing w:val="0"/>
        <w:rPr>
          <w:sz w:val="24"/>
          <w:szCs w:val="24"/>
        </w:rPr>
      </w:pPr>
    </w:p>
    <w:p w:rsidR="00756AC2" w:rsidRPr="000567AF" w:rsidRDefault="00541507" w:rsidP="000567AF">
      <w:pPr>
        <w:pStyle w:val="Normal1"/>
        <w:spacing w:after="0"/>
        <w:contextualSpacing w:val="0"/>
        <w:rPr>
          <w:sz w:val="24"/>
          <w:szCs w:val="24"/>
        </w:rPr>
      </w:pPr>
      <w:r w:rsidRPr="000567AF">
        <w:rPr>
          <w:sz w:val="24"/>
          <w:szCs w:val="24"/>
        </w:rPr>
        <w:t>Quadro 4 - Previsões IPCA e Selic 2011</w:t>
      </w:r>
    </w:p>
    <w:tbl>
      <w:tblPr>
        <w:tblStyle w:val="a4"/>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387600"/>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4391025" cy="23876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527300"/>
                  <wp:effectExtent l="0" t="0" r="0" b="0"/>
                  <wp:docPr id="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9"/>
                          <a:srcRect/>
                          <a:stretch>
                            <a:fillRect/>
                          </a:stretch>
                        </pic:blipFill>
                        <pic:spPr>
                          <a:xfrm>
                            <a:off x="0" y="0"/>
                            <a:ext cx="4391025" cy="25273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756AC2" w:rsidRPr="000567AF" w:rsidRDefault="00756AC2" w:rsidP="000567AF">
      <w:pPr>
        <w:pStyle w:val="Normal1"/>
        <w:spacing w:after="0"/>
        <w:contextualSpacing w:val="0"/>
        <w:jc w:val="left"/>
        <w:rPr>
          <w:sz w:val="24"/>
          <w:szCs w:val="24"/>
        </w:rPr>
      </w:pPr>
    </w:p>
    <w:p w:rsidR="00756AC2" w:rsidRPr="000567AF" w:rsidRDefault="00BC1003" w:rsidP="000567AF">
      <w:pPr>
        <w:pStyle w:val="Normal1"/>
        <w:spacing w:after="0"/>
        <w:contextualSpacing w:val="0"/>
        <w:rPr>
          <w:sz w:val="24"/>
          <w:szCs w:val="24"/>
        </w:rPr>
      </w:pPr>
      <w:r>
        <w:rPr>
          <w:sz w:val="24"/>
          <w:szCs w:val="24"/>
        </w:rPr>
        <w:tab/>
      </w:r>
      <w:r w:rsidR="00541507" w:rsidRPr="000567AF">
        <w:rPr>
          <w:sz w:val="24"/>
          <w:szCs w:val="24"/>
        </w:rPr>
        <w:t>Neste ano, tanto a previsão da inflação quanto a da taxa básica de juros apresentaram um bom nível de precisão.</w:t>
      </w:r>
    </w:p>
    <w:p w:rsidR="00756AC2" w:rsidRPr="000567AF" w:rsidRDefault="00CE160F" w:rsidP="000567AF">
      <w:pPr>
        <w:pStyle w:val="Normal1"/>
        <w:spacing w:after="0"/>
        <w:contextualSpacing w:val="0"/>
        <w:rPr>
          <w:sz w:val="24"/>
          <w:szCs w:val="24"/>
        </w:rPr>
      </w:pPr>
      <w:r w:rsidRPr="000567AF">
        <w:rPr>
          <w:sz w:val="24"/>
          <w:szCs w:val="24"/>
        </w:rPr>
        <w:lastRenderedPageBreak/>
        <w:t>Q</w:t>
      </w:r>
      <w:r w:rsidR="00541507" w:rsidRPr="000567AF">
        <w:rPr>
          <w:sz w:val="24"/>
          <w:szCs w:val="24"/>
        </w:rPr>
        <w:t>uadro 5 - Previsões IPCA e Selic 2012</w:t>
      </w:r>
    </w:p>
    <w:tbl>
      <w:tblPr>
        <w:tblStyle w:val="a5"/>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63800"/>
                  <wp:effectExtent l="0" t="0" r="0" b="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4391025" cy="24638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63800"/>
                  <wp:effectExtent l="0" t="0" r="0" b="0"/>
                  <wp:docPr id="1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1"/>
                          <a:srcRect/>
                          <a:stretch>
                            <a:fillRect/>
                          </a:stretch>
                        </pic:blipFill>
                        <pic:spPr>
                          <a:xfrm>
                            <a:off x="0" y="0"/>
                            <a:ext cx="4391025" cy="24638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756AC2" w:rsidRPr="000567AF" w:rsidRDefault="00756AC2" w:rsidP="000567AF">
      <w:pPr>
        <w:pStyle w:val="Normal1"/>
        <w:spacing w:after="0"/>
        <w:contextualSpacing w:val="0"/>
        <w:jc w:val="left"/>
        <w:rPr>
          <w:sz w:val="24"/>
          <w:szCs w:val="24"/>
        </w:rPr>
      </w:pPr>
    </w:p>
    <w:p w:rsidR="00E62716" w:rsidRPr="000567AF" w:rsidRDefault="00BC1003" w:rsidP="000567AF">
      <w:pPr>
        <w:pStyle w:val="Normal1"/>
        <w:spacing w:after="0"/>
        <w:contextualSpacing w:val="0"/>
        <w:rPr>
          <w:sz w:val="24"/>
          <w:szCs w:val="24"/>
        </w:rPr>
      </w:pPr>
      <w:r>
        <w:rPr>
          <w:sz w:val="24"/>
          <w:szCs w:val="24"/>
        </w:rPr>
        <w:tab/>
      </w:r>
      <w:r w:rsidR="00541507" w:rsidRPr="000567AF">
        <w:rPr>
          <w:sz w:val="24"/>
          <w:szCs w:val="24"/>
        </w:rPr>
        <w:t>O IPCA acumulado ao fim de 2012 ficou próximo ao que as previsões deste ano apontaram. Havia uma expectativa de a taxa básica de juros fosse maior do que realmente foi apresentado ao final de 201</w:t>
      </w:r>
      <w:r w:rsidR="004A1A5F">
        <w:rPr>
          <w:sz w:val="24"/>
          <w:szCs w:val="24"/>
        </w:rPr>
        <w:t xml:space="preserve">2. Somente </w:t>
      </w:r>
      <w:r w:rsidR="00575190">
        <w:rPr>
          <w:sz w:val="24"/>
          <w:szCs w:val="24"/>
        </w:rPr>
        <w:t>há cerca de</w:t>
      </w:r>
      <w:r w:rsidR="00541507" w:rsidRPr="000567AF">
        <w:rPr>
          <w:sz w:val="24"/>
          <w:szCs w:val="24"/>
        </w:rPr>
        <w:t xml:space="preserve"> seis meses do final do ano as expectativas começaram a se aproximar do valor da meta da Selic apresentada nesta data.</w:t>
      </w:r>
    </w:p>
    <w:p w:rsidR="008F5857" w:rsidRPr="000567AF" w:rsidRDefault="008F5857" w:rsidP="000567AF">
      <w:pPr>
        <w:pStyle w:val="Normal1"/>
        <w:spacing w:after="0"/>
        <w:contextualSpacing w:val="0"/>
        <w:rPr>
          <w:sz w:val="24"/>
          <w:szCs w:val="24"/>
        </w:rPr>
      </w:pPr>
    </w:p>
    <w:p w:rsidR="00756AC2" w:rsidRPr="000567AF" w:rsidRDefault="00541507" w:rsidP="000567AF">
      <w:pPr>
        <w:pStyle w:val="Normal1"/>
        <w:spacing w:after="0"/>
        <w:contextualSpacing w:val="0"/>
        <w:rPr>
          <w:sz w:val="24"/>
          <w:szCs w:val="24"/>
        </w:rPr>
      </w:pPr>
      <w:r w:rsidRPr="000567AF">
        <w:rPr>
          <w:sz w:val="24"/>
          <w:szCs w:val="24"/>
        </w:rPr>
        <w:lastRenderedPageBreak/>
        <w:t>Quadro 6 - Previsões IPCA e Selic 2013</w:t>
      </w:r>
    </w:p>
    <w:tbl>
      <w:tblPr>
        <w:tblStyle w:val="a6"/>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38400"/>
                  <wp:effectExtent l="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a:stretch>
                            <a:fillRect/>
                          </a:stretch>
                        </pic:blipFill>
                        <pic:spPr>
                          <a:xfrm>
                            <a:off x="0" y="0"/>
                            <a:ext cx="4391025" cy="24384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514600"/>
                  <wp:effectExtent l="0" t="0" r="0" b="0"/>
                  <wp:docPr id="1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3"/>
                          <a:srcRect/>
                          <a:stretch>
                            <a:fillRect/>
                          </a:stretch>
                        </pic:blipFill>
                        <pic:spPr>
                          <a:xfrm>
                            <a:off x="0" y="0"/>
                            <a:ext cx="4391025" cy="25146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D42917" w:rsidRPr="000567AF" w:rsidRDefault="00D42917" w:rsidP="00D42917">
      <w:pPr>
        <w:pStyle w:val="Normal1"/>
        <w:pBdr>
          <w:top w:val="nil"/>
          <w:left w:val="nil"/>
          <w:bottom w:val="nil"/>
          <w:right w:val="nil"/>
          <w:between w:val="nil"/>
        </w:pBdr>
        <w:spacing w:after="0"/>
        <w:contextualSpacing w:val="0"/>
        <w:rPr>
          <w:sz w:val="24"/>
          <w:szCs w:val="24"/>
        </w:rPr>
      </w:pPr>
      <w:r w:rsidRPr="000567AF">
        <w:rPr>
          <w:sz w:val="24"/>
          <w:szCs w:val="24"/>
        </w:rPr>
        <w:tab/>
        <w:t>Em 2013</w:t>
      </w:r>
      <w:r>
        <w:rPr>
          <w:sz w:val="24"/>
          <w:szCs w:val="24"/>
        </w:rPr>
        <w:t>,</w:t>
      </w:r>
      <w:r w:rsidRPr="000567AF">
        <w:rPr>
          <w:sz w:val="24"/>
          <w:szCs w:val="24"/>
        </w:rPr>
        <w:t xml:space="preserve"> não foi constatado nenhuma grande alteração nos valores tanto reais quanto preditivos do IPCA e da Selic, porém, diferentemente dos demais anos, os comportamentos dos dados ao longo do tempo seguiram caminhos inversos. Quando a previsão era de alta do IPCA os dados reais foram mais baixos do que no mês anterior. É importante ressaltar que, apesar de as previsões apresentarem curva com características tão distintas da curva real mensal para a </w:t>
      </w:r>
      <w:r w:rsidRPr="000567AF">
        <w:rPr>
          <w:sz w:val="24"/>
          <w:szCs w:val="24"/>
        </w:rPr>
        <w:lastRenderedPageBreak/>
        <w:t xml:space="preserve">inflação, estas previsões apresentaram valor muito próximo ao da taxa real da inflação auferido ao final deste ano. </w:t>
      </w:r>
    </w:p>
    <w:p w:rsidR="00D42917" w:rsidRPr="000567AF" w:rsidRDefault="00D42917" w:rsidP="00D42917">
      <w:pPr>
        <w:pStyle w:val="Normal1"/>
        <w:pBdr>
          <w:top w:val="nil"/>
          <w:left w:val="nil"/>
          <w:bottom w:val="nil"/>
          <w:right w:val="nil"/>
          <w:between w:val="nil"/>
        </w:pBdr>
        <w:spacing w:after="0"/>
        <w:contextualSpacing w:val="0"/>
        <w:rPr>
          <w:sz w:val="24"/>
          <w:szCs w:val="24"/>
        </w:rPr>
      </w:pPr>
      <w:r>
        <w:rPr>
          <w:sz w:val="24"/>
          <w:szCs w:val="24"/>
        </w:rPr>
        <w:tab/>
      </w:r>
      <w:r w:rsidRPr="000567AF">
        <w:rPr>
          <w:sz w:val="24"/>
          <w:szCs w:val="24"/>
        </w:rPr>
        <w:t>Esse resultado destaca a importância do Boletim Focus para o Sistema Financeiro Nacional, pois provê os agentes econômicos com informações precisas sobre a economia brasileira, colaborando para o aumento da eficiência das organizações, tanto públicas quanto privadas. Essa alta capacidade preditiva também atribui credibilidade ao trabalho do Banco Central diante do setor privado, sobretudo</w:t>
      </w:r>
      <w:r>
        <w:rPr>
          <w:sz w:val="24"/>
          <w:szCs w:val="24"/>
        </w:rPr>
        <w:t xml:space="preserve"> diante dos</w:t>
      </w:r>
      <w:r w:rsidRPr="000567AF">
        <w:rPr>
          <w:sz w:val="24"/>
          <w:szCs w:val="24"/>
        </w:rPr>
        <w:t xml:space="preserve"> investidores domésticos e externos.</w:t>
      </w:r>
    </w:p>
    <w:p w:rsidR="00D42917" w:rsidRDefault="00D42917" w:rsidP="00D42917">
      <w:pPr>
        <w:pStyle w:val="Normal1"/>
        <w:pBdr>
          <w:top w:val="nil"/>
          <w:left w:val="nil"/>
          <w:bottom w:val="nil"/>
          <w:right w:val="nil"/>
          <w:between w:val="nil"/>
        </w:pBdr>
        <w:spacing w:after="0"/>
        <w:contextualSpacing w:val="0"/>
        <w:rPr>
          <w:sz w:val="24"/>
          <w:szCs w:val="24"/>
        </w:rPr>
      </w:pPr>
      <w:r w:rsidRPr="000567AF">
        <w:rPr>
          <w:sz w:val="24"/>
          <w:szCs w:val="24"/>
        </w:rPr>
        <w:tab/>
        <w:t>Na Tabela 2</w:t>
      </w:r>
      <w:r>
        <w:rPr>
          <w:sz w:val="24"/>
          <w:szCs w:val="24"/>
        </w:rPr>
        <w:t>,</w:t>
      </w:r>
      <w:r w:rsidRPr="000567AF">
        <w:rPr>
          <w:sz w:val="24"/>
          <w:szCs w:val="24"/>
        </w:rPr>
        <w:t xml:space="preserve"> são apresentados os indicadores do final de cada bimestre de 2013, mostrando que a</w:t>
      </w:r>
      <w:r>
        <w:rPr>
          <w:sz w:val="24"/>
          <w:szCs w:val="24"/>
        </w:rPr>
        <w:t>s curvas</w:t>
      </w:r>
      <w:r w:rsidRPr="000567AF">
        <w:rPr>
          <w:sz w:val="24"/>
          <w:szCs w:val="24"/>
        </w:rPr>
        <w:t xml:space="preserve"> dos indic</w:t>
      </w:r>
      <w:r>
        <w:rPr>
          <w:sz w:val="24"/>
          <w:szCs w:val="24"/>
        </w:rPr>
        <w:t>adores reais e preditivos seguiram</w:t>
      </w:r>
      <w:r w:rsidRPr="000567AF">
        <w:rPr>
          <w:sz w:val="24"/>
          <w:szCs w:val="24"/>
        </w:rPr>
        <w:t xml:space="preserve"> caminhos opostos. A seta à frente de cada valor indica o movimento de alteração dos dados daquele mês para o seguinte, seja ele de alta ou baixa do índice. </w:t>
      </w:r>
    </w:p>
    <w:p w:rsidR="00575190" w:rsidRPr="000567AF" w:rsidRDefault="00575190" w:rsidP="00D42917">
      <w:pPr>
        <w:pStyle w:val="Normal1"/>
        <w:pBdr>
          <w:top w:val="nil"/>
          <w:left w:val="nil"/>
          <w:bottom w:val="nil"/>
          <w:right w:val="nil"/>
          <w:between w:val="nil"/>
        </w:pBdr>
        <w:spacing w:after="0"/>
        <w:contextualSpacing w:val="0"/>
        <w:rPr>
          <w:sz w:val="24"/>
          <w:szCs w:val="24"/>
        </w:rPr>
      </w:pPr>
    </w:p>
    <w:p w:rsidR="00D42917" w:rsidRPr="000567AF" w:rsidRDefault="00D42917" w:rsidP="00D42917">
      <w:pPr>
        <w:pStyle w:val="Normal1"/>
        <w:pBdr>
          <w:top w:val="nil"/>
          <w:left w:val="nil"/>
          <w:bottom w:val="nil"/>
          <w:right w:val="nil"/>
          <w:between w:val="nil"/>
        </w:pBdr>
        <w:spacing w:after="0"/>
        <w:contextualSpacing w:val="0"/>
        <w:rPr>
          <w:sz w:val="24"/>
          <w:szCs w:val="24"/>
        </w:rPr>
      </w:pPr>
      <w:r w:rsidRPr="000567AF">
        <w:rPr>
          <w:sz w:val="24"/>
          <w:szCs w:val="24"/>
        </w:rPr>
        <w:t xml:space="preserve">Tabela 2. Recorte da correlação negativa </w:t>
      </w:r>
      <w:r>
        <w:rPr>
          <w:sz w:val="24"/>
          <w:szCs w:val="24"/>
        </w:rPr>
        <w:t xml:space="preserve">entre a previsão e o valor real do IPCA </w:t>
      </w:r>
      <w:r w:rsidRPr="000567AF">
        <w:rPr>
          <w:sz w:val="24"/>
          <w:szCs w:val="24"/>
        </w:rPr>
        <w:t>em 2013</w:t>
      </w:r>
    </w:p>
    <w:tbl>
      <w:tblPr>
        <w:tblStyle w:val="Tabelacomgrade"/>
        <w:tblW w:w="0" w:type="auto"/>
        <w:tblLook w:val="04A0"/>
      </w:tblPr>
      <w:tblGrid>
        <w:gridCol w:w="1043"/>
        <w:gridCol w:w="901"/>
        <w:gridCol w:w="901"/>
        <w:gridCol w:w="901"/>
        <w:gridCol w:w="902"/>
        <w:gridCol w:w="901"/>
        <w:gridCol w:w="901"/>
        <w:gridCol w:w="902"/>
      </w:tblGrid>
      <w:tr w:rsidR="00D42917" w:rsidRPr="000567AF" w:rsidTr="008000BE">
        <w:tc>
          <w:tcPr>
            <w:tcW w:w="1043" w:type="dxa"/>
          </w:tcPr>
          <w:p w:rsidR="00D42917" w:rsidRPr="000567AF" w:rsidRDefault="00D42917" w:rsidP="008000BE">
            <w:pPr>
              <w:pStyle w:val="Normal1"/>
              <w:spacing w:line="360" w:lineRule="auto"/>
              <w:contextualSpacing w:val="0"/>
              <w:rPr>
                <w:sz w:val="24"/>
                <w:szCs w:val="24"/>
              </w:rPr>
            </w:pPr>
            <w:r w:rsidRPr="000567AF">
              <w:rPr>
                <w:sz w:val="24"/>
                <w:szCs w:val="24"/>
              </w:rPr>
              <w:t>IPCA</w:t>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jan</w:t>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mar</w:t>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mai</w:t>
            </w:r>
          </w:p>
        </w:tc>
        <w:tc>
          <w:tcPr>
            <w:tcW w:w="902" w:type="dxa"/>
          </w:tcPr>
          <w:p w:rsidR="00D42917" w:rsidRPr="000567AF" w:rsidRDefault="00D42917" w:rsidP="008000BE">
            <w:pPr>
              <w:pStyle w:val="Normal1"/>
              <w:spacing w:line="360" w:lineRule="auto"/>
              <w:contextualSpacing w:val="0"/>
              <w:rPr>
                <w:sz w:val="24"/>
                <w:szCs w:val="24"/>
              </w:rPr>
            </w:pPr>
            <w:r w:rsidRPr="000567AF">
              <w:rPr>
                <w:sz w:val="24"/>
                <w:szCs w:val="24"/>
              </w:rPr>
              <w:t>jul</w:t>
            </w:r>
          </w:p>
        </w:tc>
        <w:tc>
          <w:tcPr>
            <w:tcW w:w="901" w:type="dxa"/>
          </w:tcPr>
          <w:p w:rsidR="00D42917" w:rsidRPr="000567AF" w:rsidRDefault="00575190" w:rsidP="008000BE">
            <w:pPr>
              <w:pStyle w:val="Normal1"/>
              <w:spacing w:line="360" w:lineRule="auto"/>
              <w:contextualSpacing w:val="0"/>
              <w:rPr>
                <w:sz w:val="24"/>
                <w:szCs w:val="24"/>
              </w:rPr>
            </w:pPr>
            <w:r w:rsidRPr="000567AF">
              <w:rPr>
                <w:sz w:val="24"/>
                <w:szCs w:val="24"/>
              </w:rPr>
              <w:t>S</w:t>
            </w:r>
            <w:r w:rsidR="00D42917" w:rsidRPr="000567AF">
              <w:rPr>
                <w:sz w:val="24"/>
                <w:szCs w:val="24"/>
              </w:rPr>
              <w:t>et</w:t>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nov</w:t>
            </w:r>
          </w:p>
        </w:tc>
        <w:tc>
          <w:tcPr>
            <w:tcW w:w="902" w:type="dxa"/>
          </w:tcPr>
          <w:p w:rsidR="00D42917" w:rsidRPr="000567AF" w:rsidRDefault="00D42917" w:rsidP="008000BE">
            <w:pPr>
              <w:pStyle w:val="Normal1"/>
              <w:spacing w:line="360" w:lineRule="auto"/>
              <w:contextualSpacing w:val="0"/>
              <w:rPr>
                <w:sz w:val="24"/>
                <w:szCs w:val="24"/>
              </w:rPr>
            </w:pPr>
            <w:r w:rsidRPr="000567AF">
              <w:rPr>
                <w:sz w:val="24"/>
                <w:szCs w:val="24"/>
              </w:rPr>
              <w:t>dez</w:t>
            </w:r>
          </w:p>
        </w:tc>
      </w:tr>
      <w:tr w:rsidR="00D42917" w:rsidRPr="000567AF" w:rsidTr="008000BE">
        <w:tc>
          <w:tcPr>
            <w:tcW w:w="1043" w:type="dxa"/>
          </w:tcPr>
          <w:p w:rsidR="00D42917" w:rsidRPr="000567AF" w:rsidRDefault="00D42917" w:rsidP="008000BE">
            <w:pPr>
              <w:pStyle w:val="Normal1"/>
              <w:spacing w:line="360" w:lineRule="auto"/>
              <w:contextualSpacing w:val="0"/>
              <w:rPr>
                <w:sz w:val="24"/>
                <w:szCs w:val="24"/>
              </w:rPr>
            </w:pPr>
            <w:r w:rsidRPr="000567AF">
              <w:rPr>
                <w:sz w:val="24"/>
                <w:szCs w:val="24"/>
              </w:rPr>
              <w:t>Previsão</w:t>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6,15</w:t>
            </w:r>
            <w:r w:rsidRPr="000567AF">
              <w:rPr>
                <w:sz w:val="24"/>
                <w:szCs w:val="24"/>
              </w:rPr>
              <w:sym w:font="Wingdings" w:char="F0E1"/>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6,59</w:t>
            </w:r>
            <w:r w:rsidRPr="000567AF">
              <w:rPr>
                <w:sz w:val="24"/>
                <w:szCs w:val="24"/>
              </w:rPr>
              <w:sym w:font="Wingdings" w:char="F0E2"/>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6,49</w:t>
            </w:r>
            <w:r w:rsidRPr="000567AF">
              <w:rPr>
                <w:sz w:val="24"/>
                <w:szCs w:val="24"/>
              </w:rPr>
              <w:sym w:font="Wingdings" w:char="F0E2"/>
            </w:r>
          </w:p>
        </w:tc>
        <w:tc>
          <w:tcPr>
            <w:tcW w:w="902" w:type="dxa"/>
          </w:tcPr>
          <w:p w:rsidR="00D42917" w:rsidRPr="000567AF" w:rsidRDefault="00D42917" w:rsidP="008000BE">
            <w:pPr>
              <w:pStyle w:val="Normal1"/>
              <w:spacing w:line="360" w:lineRule="auto"/>
              <w:contextualSpacing w:val="0"/>
              <w:rPr>
                <w:sz w:val="24"/>
                <w:szCs w:val="24"/>
              </w:rPr>
            </w:pPr>
            <w:r w:rsidRPr="000567AF">
              <w:rPr>
                <w:sz w:val="24"/>
                <w:szCs w:val="24"/>
              </w:rPr>
              <w:t>6,27</w:t>
            </w:r>
            <w:r w:rsidRPr="000567AF">
              <w:rPr>
                <w:sz w:val="24"/>
                <w:szCs w:val="24"/>
              </w:rPr>
              <w:sym w:font="Wingdings" w:char="F0E2"/>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5,86</w:t>
            </w:r>
            <w:r w:rsidRPr="000567AF">
              <w:rPr>
                <w:sz w:val="24"/>
                <w:szCs w:val="24"/>
              </w:rPr>
              <w:sym w:font="Wingdings" w:char="F0E2"/>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5,77</w:t>
            </w:r>
            <w:r w:rsidRPr="000567AF">
              <w:rPr>
                <w:sz w:val="24"/>
                <w:szCs w:val="24"/>
              </w:rPr>
              <w:sym w:font="Wingdings" w:char="F0E2"/>
            </w:r>
          </w:p>
        </w:tc>
        <w:tc>
          <w:tcPr>
            <w:tcW w:w="902" w:type="dxa"/>
          </w:tcPr>
          <w:p w:rsidR="00D42917" w:rsidRPr="000567AF" w:rsidRDefault="00D42917" w:rsidP="008000BE">
            <w:pPr>
              <w:pStyle w:val="Normal1"/>
              <w:spacing w:line="360" w:lineRule="auto"/>
              <w:contextualSpacing w:val="0"/>
              <w:rPr>
                <w:sz w:val="24"/>
                <w:szCs w:val="24"/>
              </w:rPr>
            </w:pPr>
            <w:r w:rsidRPr="000567AF">
              <w:rPr>
                <w:sz w:val="24"/>
                <w:szCs w:val="24"/>
              </w:rPr>
              <w:t>5,73</w:t>
            </w:r>
          </w:p>
        </w:tc>
      </w:tr>
      <w:tr w:rsidR="00D42917" w:rsidRPr="000567AF" w:rsidTr="008000BE">
        <w:tc>
          <w:tcPr>
            <w:tcW w:w="1043" w:type="dxa"/>
          </w:tcPr>
          <w:p w:rsidR="00D42917" w:rsidRPr="000567AF" w:rsidRDefault="00D42917" w:rsidP="008000BE">
            <w:pPr>
              <w:pStyle w:val="Normal1"/>
              <w:spacing w:line="360" w:lineRule="auto"/>
              <w:contextualSpacing w:val="0"/>
              <w:rPr>
                <w:sz w:val="24"/>
                <w:szCs w:val="24"/>
              </w:rPr>
            </w:pPr>
            <w:r w:rsidRPr="000567AF">
              <w:rPr>
                <w:sz w:val="24"/>
                <w:szCs w:val="24"/>
              </w:rPr>
              <w:t>Real</w:t>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5,73</w:t>
            </w:r>
            <w:r w:rsidRPr="000567AF">
              <w:rPr>
                <w:sz w:val="24"/>
                <w:szCs w:val="24"/>
              </w:rPr>
              <w:sym w:font="Wingdings" w:char="F0E2"/>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 xml:space="preserve">5,7  </w:t>
            </w:r>
            <w:r w:rsidRPr="000567AF">
              <w:rPr>
                <w:sz w:val="24"/>
                <w:szCs w:val="24"/>
              </w:rPr>
              <w:sym w:font="Wingdings" w:char="F0E1"/>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5,71</w:t>
            </w:r>
            <w:r w:rsidRPr="000567AF">
              <w:rPr>
                <w:sz w:val="24"/>
                <w:szCs w:val="24"/>
              </w:rPr>
              <w:sym w:font="Wingdings" w:char="F0E1"/>
            </w:r>
          </w:p>
        </w:tc>
        <w:tc>
          <w:tcPr>
            <w:tcW w:w="902" w:type="dxa"/>
          </w:tcPr>
          <w:p w:rsidR="00D42917" w:rsidRPr="000567AF" w:rsidRDefault="00D42917" w:rsidP="008000BE">
            <w:pPr>
              <w:pStyle w:val="Normal1"/>
              <w:spacing w:line="360" w:lineRule="auto"/>
              <w:contextualSpacing w:val="0"/>
              <w:rPr>
                <w:sz w:val="24"/>
                <w:szCs w:val="24"/>
              </w:rPr>
            </w:pPr>
            <w:r w:rsidRPr="000567AF">
              <w:rPr>
                <w:sz w:val="24"/>
                <w:szCs w:val="24"/>
              </w:rPr>
              <w:t>5,81</w:t>
            </w:r>
            <w:r w:rsidRPr="000567AF">
              <w:rPr>
                <w:sz w:val="24"/>
                <w:szCs w:val="24"/>
              </w:rPr>
              <w:sym w:font="Wingdings" w:char="F0E1"/>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5,82</w:t>
            </w:r>
            <w:r w:rsidRPr="000567AF">
              <w:rPr>
                <w:sz w:val="24"/>
                <w:szCs w:val="24"/>
              </w:rPr>
              <w:sym w:font="Wingdings" w:char="F0E1"/>
            </w:r>
          </w:p>
        </w:tc>
        <w:tc>
          <w:tcPr>
            <w:tcW w:w="901" w:type="dxa"/>
          </w:tcPr>
          <w:p w:rsidR="00D42917" w:rsidRPr="000567AF" w:rsidRDefault="00D42917" w:rsidP="008000BE">
            <w:pPr>
              <w:pStyle w:val="Normal1"/>
              <w:spacing w:line="360" w:lineRule="auto"/>
              <w:contextualSpacing w:val="0"/>
              <w:rPr>
                <w:sz w:val="24"/>
                <w:szCs w:val="24"/>
              </w:rPr>
            </w:pPr>
            <w:r w:rsidRPr="000567AF">
              <w:rPr>
                <w:sz w:val="24"/>
                <w:szCs w:val="24"/>
              </w:rPr>
              <w:t>5,85</w:t>
            </w:r>
            <w:r w:rsidRPr="000567AF">
              <w:rPr>
                <w:sz w:val="24"/>
                <w:szCs w:val="24"/>
              </w:rPr>
              <w:sym w:font="Wingdings" w:char="F0E1"/>
            </w:r>
          </w:p>
        </w:tc>
        <w:tc>
          <w:tcPr>
            <w:tcW w:w="902" w:type="dxa"/>
          </w:tcPr>
          <w:p w:rsidR="00D42917" w:rsidRPr="000567AF" w:rsidRDefault="00D42917" w:rsidP="008000BE">
            <w:pPr>
              <w:pStyle w:val="Normal1"/>
              <w:spacing w:line="360" w:lineRule="auto"/>
              <w:contextualSpacing w:val="0"/>
              <w:rPr>
                <w:sz w:val="24"/>
                <w:szCs w:val="24"/>
              </w:rPr>
            </w:pPr>
            <w:r w:rsidRPr="000567AF">
              <w:rPr>
                <w:sz w:val="24"/>
                <w:szCs w:val="24"/>
              </w:rPr>
              <w:t>5,91</w:t>
            </w:r>
          </w:p>
        </w:tc>
      </w:tr>
    </w:tbl>
    <w:p w:rsidR="00D42917" w:rsidRPr="000567AF" w:rsidRDefault="00D42917" w:rsidP="00D42917">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D42917" w:rsidRPr="000567AF" w:rsidRDefault="00D42917" w:rsidP="00D42917">
      <w:pPr>
        <w:pStyle w:val="Normal1"/>
        <w:pBdr>
          <w:top w:val="nil"/>
          <w:left w:val="nil"/>
          <w:bottom w:val="nil"/>
          <w:right w:val="nil"/>
          <w:between w:val="nil"/>
        </w:pBdr>
        <w:spacing w:after="0"/>
        <w:contextualSpacing w:val="0"/>
        <w:rPr>
          <w:sz w:val="24"/>
          <w:szCs w:val="24"/>
        </w:rPr>
      </w:pPr>
    </w:p>
    <w:p w:rsidR="00D42917" w:rsidRPr="000567AF" w:rsidRDefault="00BC1003" w:rsidP="00D42917">
      <w:pPr>
        <w:pStyle w:val="Normal1"/>
        <w:pBdr>
          <w:top w:val="nil"/>
          <w:left w:val="nil"/>
          <w:bottom w:val="nil"/>
          <w:right w:val="nil"/>
          <w:between w:val="nil"/>
        </w:pBdr>
        <w:spacing w:after="0"/>
        <w:contextualSpacing w:val="0"/>
        <w:rPr>
          <w:sz w:val="24"/>
          <w:szCs w:val="24"/>
        </w:rPr>
      </w:pPr>
      <w:r>
        <w:rPr>
          <w:sz w:val="24"/>
          <w:szCs w:val="24"/>
        </w:rPr>
        <w:tab/>
      </w:r>
      <w:r w:rsidR="00575190">
        <w:rPr>
          <w:sz w:val="24"/>
          <w:szCs w:val="24"/>
        </w:rPr>
        <w:t>Conforme apresentado n</w:t>
      </w:r>
      <w:r w:rsidR="00D42917" w:rsidRPr="000567AF">
        <w:rPr>
          <w:sz w:val="24"/>
          <w:szCs w:val="24"/>
        </w:rPr>
        <w:t xml:space="preserve">a Tabela 2, durante todo o ano as previsões apresentaram movimentos contrários aos dados reais. </w:t>
      </w:r>
    </w:p>
    <w:p w:rsidR="00D42917" w:rsidRPr="000567AF" w:rsidRDefault="00D42917" w:rsidP="00D42917">
      <w:pPr>
        <w:pStyle w:val="Normal1"/>
        <w:pBdr>
          <w:top w:val="nil"/>
          <w:left w:val="nil"/>
          <w:bottom w:val="nil"/>
          <w:right w:val="nil"/>
          <w:between w:val="nil"/>
        </w:pBdr>
        <w:spacing w:after="0"/>
        <w:contextualSpacing w:val="0"/>
        <w:rPr>
          <w:sz w:val="24"/>
          <w:szCs w:val="24"/>
        </w:rPr>
      </w:pPr>
      <w:r w:rsidRPr="000567AF">
        <w:rPr>
          <w:sz w:val="24"/>
          <w:szCs w:val="24"/>
        </w:rPr>
        <w:tab/>
        <w:t>Observou-se que ao longo de todo o período que vai de maio de 2012 até final de 2013 houve um aumento ininterrupto dos índices reais do IPCA. Considerando que os economistas que enviam suas contribuições para as projeções mensais do IPCA nem sempre acertam e que seus erros são balizados pelo equilíbrio entre surpresas inflacionárias positivas e negativas. E que no ano de 2013 e último semestre de 2012 foram marcados pela alta constante da inflação, esse período foi de difícil previsibilidade pelos economistas.</w:t>
      </w:r>
    </w:p>
    <w:p w:rsidR="00D42917" w:rsidRPr="000567AF" w:rsidRDefault="00D42917" w:rsidP="00D42917">
      <w:pPr>
        <w:pStyle w:val="Normal1"/>
        <w:pBdr>
          <w:top w:val="nil"/>
          <w:left w:val="nil"/>
          <w:bottom w:val="nil"/>
          <w:right w:val="nil"/>
          <w:between w:val="nil"/>
        </w:pBdr>
        <w:spacing w:after="0"/>
        <w:contextualSpacing w:val="0"/>
        <w:rPr>
          <w:sz w:val="24"/>
          <w:szCs w:val="24"/>
        </w:rPr>
      </w:pPr>
      <w:r w:rsidRPr="000567AF">
        <w:rPr>
          <w:sz w:val="24"/>
          <w:szCs w:val="24"/>
        </w:rPr>
        <w:tab/>
      </w:r>
      <w:r>
        <w:rPr>
          <w:sz w:val="24"/>
          <w:szCs w:val="24"/>
        </w:rPr>
        <w:t xml:space="preserve">Esse erro </w:t>
      </w:r>
      <w:r w:rsidRPr="000567AF">
        <w:rPr>
          <w:sz w:val="24"/>
          <w:szCs w:val="24"/>
        </w:rPr>
        <w:t>demonstra a fragilidade do processo de previsão em relação aos acontecimentos que influenciam a inflação</w:t>
      </w:r>
      <w:r w:rsidR="00BC1003">
        <w:rPr>
          <w:sz w:val="24"/>
          <w:szCs w:val="24"/>
        </w:rPr>
        <w:t xml:space="preserve"> por não ser possível antecipar o comportamento da economia com relação a fatos ainda não acontecidos, mas</w:t>
      </w:r>
      <w:r w:rsidRPr="000567AF">
        <w:rPr>
          <w:sz w:val="24"/>
          <w:szCs w:val="24"/>
        </w:rPr>
        <w:t xml:space="preserve"> ao mesmo tempo, reforça o empenho e a capacidade </w:t>
      </w:r>
      <w:r w:rsidRPr="000567AF">
        <w:rPr>
          <w:sz w:val="24"/>
          <w:szCs w:val="24"/>
        </w:rPr>
        <w:lastRenderedPageBreak/>
        <w:t>dos economistas e instituições participantes do processo de mensuração</w:t>
      </w:r>
      <w:r w:rsidR="00BC1003">
        <w:rPr>
          <w:sz w:val="24"/>
          <w:szCs w:val="24"/>
        </w:rPr>
        <w:t xml:space="preserve"> em ter boas predições, levando em conta os fatos e notícias já conhecidos</w:t>
      </w:r>
      <w:r w:rsidRPr="000567AF">
        <w:rPr>
          <w:sz w:val="24"/>
          <w:szCs w:val="24"/>
        </w:rPr>
        <w:t>.</w:t>
      </w:r>
      <w:bookmarkStart w:id="17" w:name="_GoBack"/>
      <w:bookmarkEnd w:id="17"/>
      <w:r w:rsidRPr="000567AF">
        <w:rPr>
          <w:sz w:val="24"/>
          <w:szCs w:val="24"/>
        </w:rPr>
        <w:t xml:space="preserve"> </w:t>
      </w:r>
    </w:p>
    <w:p w:rsidR="00756AC2" w:rsidRPr="000567AF" w:rsidRDefault="00BC1003" w:rsidP="000567AF">
      <w:pPr>
        <w:pStyle w:val="Normal1"/>
        <w:spacing w:after="0"/>
        <w:contextualSpacing w:val="0"/>
        <w:rPr>
          <w:sz w:val="24"/>
          <w:szCs w:val="24"/>
        </w:rPr>
      </w:pPr>
      <w:r>
        <w:rPr>
          <w:sz w:val="24"/>
          <w:szCs w:val="24"/>
        </w:rPr>
        <w:tab/>
      </w:r>
      <w:r w:rsidR="00541507" w:rsidRPr="000567AF">
        <w:rPr>
          <w:sz w:val="24"/>
          <w:szCs w:val="24"/>
        </w:rPr>
        <w:t>Seguindo a previsão para o ano anterior para a Selic, que foi de queda, a expectativa para este indicador foi ficando cada vez mais distante nos boletins de 2012 com previsão para 2013. Mas a partir de março de 2013, as previsões começaram a antecipar que a Selic voltaria a crescer ao final do ano. A previsão para a inflação não se distanciou do valor real em nenhum período.</w:t>
      </w:r>
    </w:p>
    <w:p w:rsidR="008F5857" w:rsidRPr="00A256C0" w:rsidRDefault="008F5857" w:rsidP="000567AF">
      <w:pPr>
        <w:pStyle w:val="Normal1"/>
        <w:spacing w:after="0"/>
        <w:contextualSpacing w:val="0"/>
        <w:rPr>
          <w:sz w:val="14"/>
          <w:szCs w:val="24"/>
        </w:rPr>
      </w:pPr>
    </w:p>
    <w:p w:rsidR="00CE160F" w:rsidRPr="000567AF" w:rsidRDefault="00CE160F" w:rsidP="000567AF">
      <w:pPr>
        <w:pStyle w:val="Normal1"/>
        <w:spacing w:after="0"/>
        <w:contextualSpacing w:val="0"/>
        <w:rPr>
          <w:sz w:val="24"/>
          <w:szCs w:val="24"/>
        </w:rPr>
      </w:pPr>
      <w:r w:rsidRPr="000567AF">
        <w:rPr>
          <w:sz w:val="24"/>
          <w:szCs w:val="24"/>
        </w:rPr>
        <w:t>Quadro 7 - Previsões IPCA e Selic 2014</w:t>
      </w:r>
    </w:p>
    <w:tbl>
      <w:tblPr>
        <w:tblStyle w:val="a7"/>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349500"/>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4391025" cy="23495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501900"/>
                  <wp:effectExtent l="0" t="0" r="0" b="0"/>
                  <wp:docPr id="1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a:srcRect/>
                          <a:stretch>
                            <a:fillRect/>
                          </a:stretch>
                        </pic:blipFill>
                        <pic:spPr>
                          <a:xfrm>
                            <a:off x="0" y="0"/>
                            <a:ext cx="4391025" cy="25019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756AC2" w:rsidRPr="000567AF" w:rsidRDefault="00BC1003" w:rsidP="000567AF">
      <w:pPr>
        <w:pStyle w:val="Normal1"/>
        <w:spacing w:after="0"/>
        <w:contextualSpacing w:val="0"/>
        <w:rPr>
          <w:sz w:val="24"/>
          <w:szCs w:val="24"/>
        </w:rPr>
      </w:pPr>
      <w:r>
        <w:rPr>
          <w:sz w:val="24"/>
          <w:szCs w:val="24"/>
        </w:rPr>
        <w:lastRenderedPageBreak/>
        <w:tab/>
      </w:r>
      <w:r w:rsidR="00541507" w:rsidRPr="000567AF">
        <w:rPr>
          <w:sz w:val="24"/>
          <w:szCs w:val="24"/>
        </w:rPr>
        <w:t>Neste ano, o boletim apresentou uma boa precisão para a previsão da inflação. Já a expectativa para a Selic ficou bastante abaixo do valor real nas previsões realizadas no ano anterior, acompanhando os valores apresentados pelo Copom do ano de 2013. As previsões do ano corrente foram mais assertivas.</w:t>
      </w:r>
    </w:p>
    <w:p w:rsidR="00A256C0" w:rsidRPr="00A256C0" w:rsidRDefault="00A256C0" w:rsidP="000567AF">
      <w:pPr>
        <w:pStyle w:val="Normal1"/>
        <w:spacing w:after="0"/>
        <w:contextualSpacing w:val="0"/>
        <w:rPr>
          <w:sz w:val="6"/>
          <w:szCs w:val="24"/>
        </w:rPr>
      </w:pPr>
    </w:p>
    <w:p w:rsidR="00CE160F" w:rsidRPr="000567AF" w:rsidRDefault="00CE160F" w:rsidP="000567AF">
      <w:pPr>
        <w:pStyle w:val="Normal1"/>
        <w:spacing w:after="0"/>
        <w:contextualSpacing w:val="0"/>
        <w:rPr>
          <w:sz w:val="24"/>
          <w:szCs w:val="24"/>
        </w:rPr>
      </w:pPr>
      <w:r w:rsidRPr="000567AF">
        <w:rPr>
          <w:sz w:val="24"/>
          <w:szCs w:val="24"/>
        </w:rPr>
        <w:t>Quadro 8 - Previsões IPCA e Selic 2015</w:t>
      </w:r>
    </w:p>
    <w:tbl>
      <w:tblPr>
        <w:tblStyle w:val="a8"/>
        <w:tblW w:w="71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136"/>
      </w:tblGrid>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463800"/>
                  <wp:effectExtent l="0" t="0" r="0" b="0"/>
                  <wp:docPr id="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6"/>
                          <a:srcRect/>
                          <a:stretch>
                            <a:fillRect/>
                          </a:stretch>
                        </pic:blipFill>
                        <pic:spPr>
                          <a:xfrm>
                            <a:off x="0" y="0"/>
                            <a:ext cx="4391025" cy="2463800"/>
                          </a:xfrm>
                          <a:prstGeom prst="rect">
                            <a:avLst/>
                          </a:prstGeom>
                          <a:ln/>
                        </pic:spPr>
                      </pic:pic>
                    </a:graphicData>
                  </a:graphic>
                </wp:inline>
              </w:drawing>
            </w:r>
          </w:p>
        </w:tc>
      </w:tr>
      <w:tr w:rsidR="00756AC2" w:rsidRPr="000567AF">
        <w:tc>
          <w:tcPr>
            <w:tcW w:w="7136" w:type="dxa"/>
            <w:shd w:val="clear" w:color="auto" w:fill="auto"/>
            <w:tcMar>
              <w:top w:w="100" w:type="dxa"/>
              <w:left w:w="100" w:type="dxa"/>
              <w:bottom w:w="100" w:type="dxa"/>
              <w:right w:w="100" w:type="dxa"/>
            </w:tcMar>
          </w:tcPr>
          <w:p w:rsidR="00756AC2" w:rsidRPr="000567AF" w:rsidRDefault="00541507" w:rsidP="000567AF">
            <w:pPr>
              <w:pStyle w:val="Normal1"/>
              <w:widowControl w:val="0"/>
              <w:pBdr>
                <w:top w:val="nil"/>
                <w:left w:val="nil"/>
                <w:bottom w:val="nil"/>
                <w:right w:val="nil"/>
                <w:between w:val="nil"/>
              </w:pBdr>
              <w:spacing w:after="0"/>
              <w:contextualSpacing w:val="0"/>
              <w:jc w:val="left"/>
              <w:rPr>
                <w:sz w:val="24"/>
                <w:szCs w:val="24"/>
              </w:rPr>
            </w:pPr>
            <w:r w:rsidRPr="000567AF">
              <w:rPr>
                <w:noProof/>
                <w:sz w:val="24"/>
                <w:szCs w:val="24"/>
              </w:rPr>
              <w:drawing>
                <wp:inline distT="114300" distB="114300" distL="114300" distR="114300">
                  <wp:extent cx="4391025" cy="2501900"/>
                  <wp:effectExtent l="0" t="0" r="0" b="0"/>
                  <wp:docPr id="1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7"/>
                          <a:srcRect/>
                          <a:stretch>
                            <a:fillRect/>
                          </a:stretch>
                        </pic:blipFill>
                        <pic:spPr>
                          <a:xfrm>
                            <a:off x="0" y="0"/>
                            <a:ext cx="4391025" cy="2501900"/>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756AC2" w:rsidRDefault="00BC1003" w:rsidP="00B476F3">
      <w:pPr>
        <w:pStyle w:val="Normal1"/>
        <w:spacing w:after="0"/>
        <w:contextualSpacing w:val="0"/>
        <w:rPr>
          <w:sz w:val="24"/>
          <w:szCs w:val="24"/>
        </w:rPr>
      </w:pPr>
      <w:r>
        <w:rPr>
          <w:sz w:val="24"/>
          <w:szCs w:val="24"/>
        </w:rPr>
        <w:tab/>
      </w:r>
      <w:r w:rsidR="00541507" w:rsidRPr="000567AF">
        <w:rPr>
          <w:sz w:val="24"/>
          <w:szCs w:val="24"/>
        </w:rPr>
        <w:t xml:space="preserve">As estimativas de inflação do ano anterior e as primeiras realizadas neste ano ficaram muito abaixo do valor alcançado ao fim do ano de 2015. A inflação neste ano atingiu um valor </w:t>
      </w:r>
      <w:r w:rsidR="00541507" w:rsidRPr="000567AF">
        <w:rPr>
          <w:sz w:val="24"/>
          <w:szCs w:val="24"/>
        </w:rPr>
        <w:lastRenderedPageBreak/>
        <w:t>muito elevado, o maior índice desde 2002, quase 4% acima da banda superior da margem da meta. Da mesma forma, como a previsão de inflação inicialmente era baixa, a expectativa para a taxa básica de juros também ficou abaixo do valor real</w:t>
      </w:r>
      <w:r w:rsidR="004A1A5F">
        <w:rPr>
          <w:sz w:val="24"/>
          <w:szCs w:val="24"/>
        </w:rPr>
        <w:t xml:space="preserve"> anual</w:t>
      </w:r>
      <w:r w:rsidR="00541507" w:rsidRPr="000567AF">
        <w:rPr>
          <w:sz w:val="24"/>
          <w:szCs w:val="24"/>
        </w:rPr>
        <w:t>.</w:t>
      </w:r>
    </w:p>
    <w:p w:rsidR="00A256C0" w:rsidRPr="00A256C0" w:rsidRDefault="00A256C0" w:rsidP="00A256C0">
      <w:pPr>
        <w:pStyle w:val="Normal1"/>
        <w:spacing w:after="0" w:line="300" w:lineRule="auto"/>
        <w:contextualSpacing w:val="0"/>
        <w:rPr>
          <w:sz w:val="10"/>
          <w:szCs w:val="24"/>
        </w:rPr>
      </w:pPr>
    </w:p>
    <w:p w:rsidR="00756AC2" w:rsidRPr="000567AF" w:rsidRDefault="00541507" w:rsidP="000567AF">
      <w:pPr>
        <w:pStyle w:val="Normal1"/>
        <w:spacing w:after="0"/>
        <w:contextualSpacing w:val="0"/>
        <w:rPr>
          <w:sz w:val="24"/>
          <w:szCs w:val="24"/>
        </w:rPr>
      </w:pPr>
      <w:r w:rsidRPr="000567AF">
        <w:rPr>
          <w:sz w:val="24"/>
          <w:szCs w:val="24"/>
        </w:rPr>
        <w:t>Quadro 9 - Previsões IPCA e Selic 2016</w:t>
      </w:r>
    </w:p>
    <w:tbl>
      <w:tblPr>
        <w:tblStyle w:val="a9"/>
        <w:tblW w:w="72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244"/>
      </w:tblGrid>
      <w:tr w:rsidR="00756AC2" w:rsidRPr="000567AF">
        <w:trPr>
          <w:trHeight w:val="220"/>
        </w:trPr>
        <w:tc>
          <w:tcPr>
            <w:tcW w:w="7244" w:type="dxa"/>
          </w:tcPr>
          <w:p w:rsidR="00756AC2" w:rsidRPr="000567AF" w:rsidRDefault="00541507" w:rsidP="000567AF">
            <w:pPr>
              <w:pStyle w:val="Normal1"/>
              <w:spacing w:after="0"/>
              <w:ind w:left="-112"/>
              <w:contextualSpacing w:val="0"/>
              <w:jc w:val="center"/>
              <w:rPr>
                <w:rFonts w:ascii="Times New Roman" w:hAnsi="Times New Roman" w:cs="Times New Roman"/>
                <w:sz w:val="24"/>
                <w:szCs w:val="24"/>
              </w:rPr>
            </w:pPr>
            <w:r w:rsidRPr="000567AF">
              <w:rPr>
                <w:rFonts w:ascii="Times New Roman" w:hAnsi="Times New Roman" w:cs="Times New Roman"/>
                <w:noProof/>
                <w:sz w:val="24"/>
                <w:szCs w:val="24"/>
              </w:rPr>
              <w:drawing>
                <wp:inline distT="114300" distB="114300" distL="114300" distR="114300">
                  <wp:extent cx="4223068" cy="2337125"/>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a:stretch>
                            <a:fillRect/>
                          </a:stretch>
                        </pic:blipFill>
                        <pic:spPr>
                          <a:xfrm>
                            <a:off x="0" y="0"/>
                            <a:ext cx="4223068" cy="2337125"/>
                          </a:xfrm>
                          <a:prstGeom prst="rect">
                            <a:avLst/>
                          </a:prstGeom>
                          <a:ln/>
                        </pic:spPr>
                      </pic:pic>
                    </a:graphicData>
                  </a:graphic>
                </wp:inline>
              </w:drawing>
            </w:r>
          </w:p>
        </w:tc>
      </w:tr>
      <w:tr w:rsidR="00756AC2" w:rsidRPr="000567AF">
        <w:trPr>
          <w:trHeight w:val="220"/>
        </w:trPr>
        <w:tc>
          <w:tcPr>
            <w:tcW w:w="7244" w:type="dxa"/>
          </w:tcPr>
          <w:p w:rsidR="00756AC2" w:rsidRPr="000567AF" w:rsidRDefault="00541507" w:rsidP="000567AF">
            <w:pPr>
              <w:pStyle w:val="Normal1"/>
              <w:spacing w:after="0"/>
              <w:ind w:left="-112"/>
              <w:contextualSpacing w:val="0"/>
              <w:jc w:val="center"/>
              <w:rPr>
                <w:rFonts w:ascii="Times New Roman" w:hAnsi="Times New Roman" w:cs="Times New Roman"/>
                <w:sz w:val="24"/>
                <w:szCs w:val="24"/>
              </w:rPr>
            </w:pPr>
            <w:r w:rsidRPr="000567AF">
              <w:rPr>
                <w:rFonts w:ascii="Times New Roman" w:hAnsi="Times New Roman" w:cs="Times New Roman"/>
                <w:noProof/>
                <w:sz w:val="24"/>
                <w:szCs w:val="24"/>
              </w:rPr>
              <w:drawing>
                <wp:inline distT="114300" distB="114300" distL="114300" distR="114300">
                  <wp:extent cx="4253023" cy="2317898"/>
                  <wp:effectExtent l="1905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9"/>
                          <a:srcRect/>
                          <a:stretch>
                            <a:fillRect/>
                          </a:stretch>
                        </pic:blipFill>
                        <pic:spPr>
                          <a:xfrm>
                            <a:off x="0" y="0"/>
                            <a:ext cx="4255560" cy="2319281"/>
                          </a:xfrm>
                          <a:prstGeom prst="rect">
                            <a:avLst/>
                          </a:prstGeom>
                          <a:ln/>
                        </pic:spPr>
                      </pic:pic>
                    </a:graphicData>
                  </a:graphic>
                </wp:inline>
              </w:drawing>
            </w:r>
          </w:p>
        </w:tc>
      </w:tr>
    </w:tbl>
    <w:p w:rsidR="00E62716" w:rsidRPr="000567AF" w:rsidRDefault="00E62716" w:rsidP="000567AF">
      <w:pPr>
        <w:pStyle w:val="Normal1"/>
        <w:pBdr>
          <w:top w:val="nil"/>
          <w:left w:val="nil"/>
          <w:bottom w:val="nil"/>
          <w:right w:val="nil"/>
          <w:between w:val="nil"/>
        </w:pBdr>
        <w:spacing w:after="0"/>
        <w:contextualSpacing w:val="0"/>
        <w:rPr>
          <w:sz w:val="24"/>
          <w:szCs w:val="24"/>
        </w:rPr>
      </w:pPr>
      <w:r w:rsidRPr="000567AF">
        <w:rPr>
          <w:sz w:val="24"/>
          <w:szCs w:val="24"/>
        </w:rPr>
        <w:t>Fonte: Elaborada pelo autor (2019)</w:t>
      </w:r>
    </w:p>
    <w:p w:rsidR="00E62716" w:rsidRPr="000567AF" w:rsidRDefault="00541507" w:rsidP="00B476F3">
      <w:pPr>
        <w:spacing w:after="0"/>
        <w:contextualSpacing w:val="0"/>
        <w:rPr>
          <w:sz w:val="24"/>
          <w:szCs w:val="24"/>
        </w:rPr>
      </w:pPr>
      <w:r w:rsidRPr="000567AF">
        <w:rPr>
          <w:sz w:val="24"/>
          <w:szCs w:val="24"/>
        </w:rPr>
        <w:tab/>
        <w:t>Neste ano, mesmo os níveis de inflação tendo se apresentado altos no início do ano, as previsões para o IPCA apresentaram previsões bem precisas. Já o gráfico com as previsões para a Selic mostra uma expectativa de que a taxa reduzisse a partir do mês de abril, época em que ocorreu o impeachment da então presidente Dilma Rousseff</w:t>
      </w:r>
      <w:r w:rsidR="00A256C0">
        <w:rPr>
          <w:sz w:val="24"/>
          <w:szCs w:val="24"/>
        </w:rPr>
        <w:t xml:space="preserve"> (SALGADO, 2016)</w:t>
      </w:r>
      <w:r w:rsidRPr="000567AF">
        <w:rPr>
          <w:sz w:val="24"/>
          <w:szCs w:val="24"/>
        </w:rPr>
        <w:t>.</w:t>
      </w:r>
      <w:r w:rsidR="00E62716" w:rsidRPr="000567AF">
        <w:rPr>
          <w:sz w:val="24"/>
          <w:szCs w:val="24"/>
        </w:rPr>
        <w:br w:type="page"/>
      </w:r>
    </w:p>
    <w:p w:rsidR="00756AC2" w:rsidRPr="000567AF" w:rsidRDefault="00541507" w:rsidP="009D61F6">
      <w:pPr>
        <w:pStyle w:val="Ttulo1"/>
        <w:numPr>
          <w:ilvl w:val="0"/>
          <w:numId w:val="5"/>
        </w:numPr>
        <w:spacing w:before="0"/>
        <w:rPr>
          <w:sz w:val="24"/>
          <w:szCs w:val="24"/>
        </w:rPr>
      </w:pPr>
      <w:bookmarkStart w:id="18" w:name="_17dp8vu" w:colFirst="0" w:colLast="0"/>
      <w:bookmarkStart w:id="19" w:name="_Toc2325179"/>
      <w:bookmarkEnd w:id="18"/>
      <w:r w:rsidRPr="000567AF">
        <w:rPr>
          <w:sz w:val="24"/>
          <w:szCs w:val="24"/>
        </w:rPr>
        <w:lastRenderedPageBreak/>
        <w:t>CONCLUSÕES</w:t>
      </w:r>
      <w:bookmarkEnd w:id="19"/>
    </w:p>
    <w:p w:rsidR="00756AC2" w:rsidRPr="000567AF" w:rsidRDefault="00756AC2" w:rsidP="000567AF">
      <w:pPr>
        <w:pStyle w:val="Normal1"/>
        <w:tabs>
          <w:tab w:val="left" w:pos="0"/>
        </w:tabs>
        <w:spacing w:after="0"/>
        <w:contextualSpacing w:val="0"/>
        <w:rPr>
          <w:sz w:val="24"/>
          <w:szCs w:val="24"/>
        </w:rPr>
      </w:pPr>
    </w:p>
    <w:p w:rsidR="00756AC2" w:rsidRPr="000567AF" w:rsidRDefault="00BC1003" w:rsidP="000567AF">
      <w:pPr>
        <w:pStyle w:val="Normal1"/>
        <w:tabs>
          <w:tab w:val="left" w:pos="0"/>
        </w:tabs>
        <w:spacing w:after="0"/>
        <w:contextualSpacing w:val="0"/>
        <w:rPr>
          <w:sz w:val="24"/>
          <w:szCs w:val="24"/>
        </w:rPr>
      </w:pPr>
      <w:r>
        <w:rPr>
          <w:sz w:val="24"/>
          <w:szCs w:val="24"/>
        </w:rPr>
        <w:tab/>
      </w:r>
      <w:r w:rsidR="00541507" w:rsidRPr="000567AF">
        <w:rPr>
          <w:sz w:val="24"/>
          <w:szCs w:val="24"/>
        </w:rPr>
        <w:t xml:space="preserve">Esta pesquisa apresentou uma comparação entre as estimativas dos indicadores IPCA e Selic previstos pelo Boletim Focus e os dados reais desses indicadores. Os dados reais e previsões foram cruzados e apresentados na forma de gráficos por meio dos quais fica clara a capacidade de </w:t>
      </w:r>
      <w:r w:rsidR="00B476F3">
        <w:rPr>
          <w:sz w:val="24"/>
          <w:szCs w:val="24"/>
        </w:rPr>
        <w:t>previsão</w:t>
      </w:r>
      <w:r w:rsidR="00541507" w:rsidRPr="000567AF">
        <w:rPr>
          <w:sz w:val="24"/>
          <w:szCs w:val="24"/>
        </w:rPr>
        <w:t xml:space="preserve"> do Boletim Focus e a tendência de acerto das previsões na medida em que as datas das previsões se aproximam dos períodos para os quais estão se calculando estes indicadores. </w:t>
      </w:r>
    </w:p>
    <w:p w:rsidR="00756AC2" w:rsidRPr="000567AF" w:rsidRDefault="00541507" w:rsidP="000567AF">
      <w:pPr>
        <w:pStyle w:val="Normal1"/>
        <w:tabs>
          <w:tab w:val="left" w:pos="0"/>
        </w:tabs>
        <w:spacing w:after="0"/>
        <w:ind w:firstLine="720"/>
        <w:contextualSpacing w:val="0"/>
        <w:rPr>
          <w:sz w:val="24"/>
          <w:szCs w:val="24"/>
        </w:rPr>
      </w:pPr>
      <w:r w:rsidRPr="000567AF">
        <w:rPr>
          <w:sz w:val="24"/>
          <w:szCs w:val="24"/>
        </w:rPr>
        <w:t>Alguns comportamentos das curvas de previsão chamaram a atenção,</w:t>
      </w:r>
      <w:r w:rsidR="004A1A5F">
        <w:rPr>
          <w:sz w:val="24"/>
          <w:szCs w:val="24"/>
        </w:rPr>
        <w:t xml:space="preserve"> sendo um deles o </w:t>
      </w:r>
      <w:r w:rsidRPr="000567AF">
        <w:rPr>
          <w:sz w:val="24"/>
          <w:szCs w:val="24"/>
        </w:rPr>
        <w:t xml:space="preserve">gráfico </w:t>
      </w:r>
      <w:r w:rsidR="004A1A5F">
        <w:rPr>
          <w:sz w:val="24"/>
          <w:szCs w:val="24"/>
        </w:rPr>
        <w:t xml:space="preserve">da Selic </w:t>
      </w:r>
      <w:r w:rsidRPr="000567AF">
        <w:rPr>
          <w:sz w:val="24"/>
          <w:szCs w:val="24"/>
        </w:rPr>
        <w:t xml:space="preserve">do ano de 2016, quando por volta do mês de abril a curva do gráfico passou a ter um comportamento atípico causando saliência na curva do gráfico, no período em que houve um acontecimento relevante no país. Pesquisas futuras com recortes de períodos específicos poderão apresentar uma perspectiva mais aprofundada sobre as causas dos erros nas previsões dos economistas ou mesmo de alterações repentinas nas taxas. </w:t>
      </w:r>
    </w:p>
    <w:p w:rsidR="00756AC2" w:rsidRPr="000567AF" w:rsidRDefault="00541507" w:rsidP="000567AF">
      <w:pPr>
        <w:pStyle w:val="Normal1"/>
        <w:tabs>
          <w:tab w:val="left" w:pos="0"/>
        </w:tabs>
        <w:spacing w:after="0"/>
        <w:contextualSpacing w:val="0"/>
        <w:rPr>
          <w:sz w:val="24"/>
          <w:szCs w:val="24"/>
        </w:rPr>
      </w:pPr>
      <w:r w:rsidRPr="000567AF">
        <w:rPr>
          <w:sz w:val="24"/>
          <w:szCs w:val="24"/>
        </w:rPr>
        <w:tab/>
      </w:r>
      <w:r w:rsidR="004A1A5F">
        <w:rPr>
          <w:sz w:val="24"/>
          <w:szCs w:val="24"/>
        </w:rPr>
        <w:t>Outra observação efetuada</w:t>
      </w:r>
      <w:r w:rsidRPr="000567AF">
        <w:rPr>
          <w:sz w:val="24"/>
          <w:szCs w:val="24"/>
        </w:rPr>
        <w:t xml:space="preserve"> é </w:t>
      </w:r>
      <w:r w:rsidR="004A1A5F">
        <w:rPr>
          <w:sz w:val="24"/>
          <w:szCs w:val="24"/>
        </w:rPr>
        <w:t xml:space="preserve">que </w:t>
      </w:r>
      <w:r w:rsidR="007202A0">
        <w:rPr>
          <w:sz w:val="24"/>
          <w:szCs w:val="24"/>
        </w:rPr>
        <w:t>n</w:t>
      </w:r>
      <w:r w:rsidRPr="000567AF">
        <w:rPr>
          <w:sz w:val="24"/>
          <w:szCs w:val="24"/>
        </w:rPr>
        <w:t xml:space="preserve">as previsões realizadas com anterioridade de um ano existe uma tendência a se estimar que tanto o IPCA e quanto a Selic seguirão a mesma curva do ano corrente. Como demonstrado nos resultados do ano de 2014, por exemplo, no qual a previsão realizada no ano corrente constava valores muito próximos aos reais, porém, a curva que representa a previsão realizada no ano anterior para a Selic e o IPCA de 2014 apresentava comportamento muito semelhante ao da curva da previsão desses indicadores para 2013. </w:t>
      </w:r>
    </w:p>
    <w:p w:rsidR="00151E7A" w:rsidRDefault="00FB04FE" w:rsidP="000567AF">
      <w:pPr>
        <w:pStyle w:val="Normal1"/>
        <w:tabs>
          <w:tab w:val="left" w:pos="0"/>
        </w:tabs>
        <w:spacing w:after="0"/>
        <w:contextualSpacing w:val="0"/>
        <w:rPr>
          <w:sz w:val="24"/>
          <w:szCs w:val="24"/>
        </w:rPr>
      </w:pPr>
      <w:r w:rsidRPr="000567AF">
        <w:rPr>
          <w:sz w:val="24"/>
          <w:szCs w:val="24"/>
        </w:rPr>
        <w:tab/>
        <w:t xml:space="preserve">A análise da correlação entre os índices reais e preditivos dos anos de 2008 </w:t>
      </w:r>
      <w:r w:rsidR="0012080D">
        <w:rPr>
          <w:sz w:val="24"/>
          <w:szCs w:val="24"/>
        </w:rPr>
        <w:t xml:space="preserve">a 2016 para o indicador IPCA </w:t>
      </w:r>
      <w:r w:rsidRPr="000567AF">
        <w:rPr>
          <w:sz w:val="24"/>
          <w:szCs w:val="24"/>
        </w:rPr>
        <w:t xml:space="preserve">retornou uma </w:t>
      </w:r>
      <w:r w:rsidR="0012080D">
        <w:rPr>
          <w:sz w:val="24"/>
          <w:szCs w:val="24"/>
        </w:rPr>
        <w:t>forte correlação no período inteiro e não menor do que moderada se computada ano a ano</w:t>
      </w:r>
      <w:r w:rsidRPr="000567AF">
        <w:rPr>
          <w:sz w:val="24"/>
          <w:szCs w:val="24"/>
        </w:rPr>
        <w:t>, com exceção apenas para o ano de 2013</w:t>
      </w:r>
      <w:r w:rsidR="0012080D">
        <w:rPr>
          <w:sz w:val="24"/>
          <w:szCs w:val="24"/>
        </w:rPr>
        <w:t>,</w:t>
      </w:r>
      <w:r w:rsidRPr="000567AF">
        <w:rPr>
          <w:sz w:val="24"/>
          <w:szCs w:val="24"/>
        </w:rPr>
        <w:t xml:space="preserve"> quando as estimativas retornaram uma correlação </w:t>
      </w:r>
      <w:r w:rsidR="0012080D">
        <w:rPr>
          <w:sz w:val="24"/>
          <w:szCs w:val="24"/>
        </w:rPr>
        <w:t>desprezível</w:t>
      </w:r>
      <w:r w:rsidRPr="000567AF">
        <w:rPr>
          <w:sz w:val="24"/>
          <w:szCs w:val="24"/>
        </w:rPr>
        <w:t xml:space="preserve"> e negativa em relação aos dados reais. </w:t>
      </w:r>
      <w:r w:rsidR="0012080D">
        <w:rPr>
          <w:sz w:val="24"/>
          <w:szCs w:val="24"/>
        </w:rPr>
        <w:t>Importante ressaltar que mais importante do que uma forte correlação entre estes dados é a aproximação da previsão para o valor real anual</w:t>
      </w:r>
      <w:r w:rsidR="00151E7A">
        <w:rPr>
          <w:sz w:val="24"/>
          <w:szCs w:val="24"/>
        </w:rPr>
        <w:t>.</w:t>
      </w:r>
    </w:p>
    <w:p w:rsidR="00FB04FE" w:rsidRPr="000567AF" w:rsidRDefault="00151E7A" w:rsidP="000567AF">
      <w:pPr>
        <w:pStyle w:val="Normal1"/>
        <w:tabs>
          <w:tab w:val="left" w:pos="0"/>
        </w:tabs>
        <w:spacing w:after="0"/>
        <w:contextualSpacing w:val="0"/>
        <w:rPr>
          <w:sz w:val="24"/>
          <w:szCs w:val="24"/>
        </w:rPr>
      </w:pPr>
      <w:r>
        <w:rPr>
          <w:sz w:val="24"/>
          <w:szCs w:val="24"/>
        </w:rPr>
        <w:tab/>
        <w:t xml:space="preserve">Infelizmente este trabalho não é capaz de trazer dados numéricos precisos para verificar a precisão da previsão comparada aos dados reais para inflação e taxa de juros, mas dá uma noção visual sobre a aproximação dos valores previstos, no decorrer dos meses a cada ano com os </w:t>
      </w:r>
      <w:r>
        <w:rPr>
          <w:sz w:val="24"/>
          <w:szCs w:val="24"/>
        </w:rPr>
        <w:lastRenderedPageBreak/>
        <w:t>valores reais, indicando assim que o Boletim Focus é um bom material de consulta para previsão dos indicadores</w:t>
      </w:r>
      <w:r w:rsidR="007202A0">
        <w:rPr>
          <w:sz w:val="24"/>
          <w:szCs w:val="24"/>
        </w:rPr>
        <w:t>,</w:t>
      </w:r>
      <w:r>
        <w:rPr>
          <w:sz w:val="24"/>
          <w:szCs w:val="24"/>
        </w:rPr>
        <w:t xml:space="preserve"> mas não pode ser entendido como</w:t>
      </w:r>
      <w:r w:rsidR="00AB2E95">
        <w:rPr>
          <w:sz w:val="24"/>
          <w:szCs w:val="24"/>
        </w:rPr>
        <w:t xml:space="preserve"> um guia infalível para predição de dados econômicos.</w:t>
      </w:r>
      <w:r w:rsidR="000601A9" w:rsidRPr="000567AF">
        <w:rPr>
          <w:sz w:val="24"/>
          <w:szCs w:val="24"/>
        </w:rPr>
        <w:t xml:space="preserve"> </w:t>
      </w:r>
    </w:p>
    <w:p w:rsidR="00E62716" w:rsidRPr="000567AF" w:rsidRDefault="00541507" w:rsidP="000567AF">
      <w:pPr>
        <w:spacing w:after="0"/>
        <w:contextualSpacing w:val="0"/>
      </w:pPr>
      <w:r w:rsidRPr="000567AF">
        <w:rPr>
          <w:sz w:val="24"/>
          <w:szCs w:val="24"/>
        </w:rPr>
        <w:tab/>
        <w:t xml:space="preserve">Assim, no universo em que predominam as pesquisas quantitativas sobre a previsibilidade das taxas Selic e de inflação, esta pesquisa buscou contribuir com explicações claras sobre essas taxas e sobre como interpretar </w:t>
      </w:r>
      <w:r w:rsidR="00037560" w:rsidRPr="000567AF">
        <w:rPr>
          <w:sz w:val="24"/>
          <w:szCs w:val="24"/>
        </w:rPr>
        <w:t xml:space="preserve">as previsões disponibilizadas. Pesquisas </w:t>
      </w:r>
      <w:r w:rsidR="00982B00" w:rsidRPr="000567AF">
        <w:rPr>
          <w:sz w:val="24"/>
          <w:szCs w:val="24"/>
        </w:rPr>
        <w:t>mais aprofundadas podem calcular o erro das previsões e apresentar também de forma mais didática e qualitativa o contexto em que os erros ocorrem.</w:t>
      </w:r>
      <w:r w:rsidR="00982B00" w:rsidRPr="000567AF">
        <w:t xml:space="preserve">  </w:t>
      </w:r>
      <w:r w:rsidR="00E62716" w:rsidRPr="000567AF">
        <w:br w:type="page"/>
      </w:r>
    </w:p>
    <w:p w:rsidR="00756AC2" w:rsidRPr="000567AF" w:rsidRDefault="00541507" w:rsidP="000567AF">
      <w:pPr>
        <w:pStyle w:val="Normal1"/>
        <w:pBdr>
          <w:top w:val="nil"/>
          <w:left w:val="nil"/>
          <w:bottom w:val="nil"/>
          <w:right w:val="nil"/>
          <w:between w:val="nil"/>
        </w:pBdr>
        <w:spacing w:after="0"/>
        <w:contextualSpacing w:val="0"/>
        <w:jc w:val="center"/>
        <w:rPr>
          <w:b/>
          <w:color w:val="000000"/>
          <w:sz w:val="24"/>
          <w:szCs w:val="24"/>
        </w:rPr>
      </w:pPr>
      <w:bookmarkStart w:id="20" w:name="_3rdcrjn" w:colFirst="0" w:colLast="0"/>
      <w:bookmarkEnd w:id="20"/>
      <w:r w:rsidRPr="000567AF">
        <w:rPr>
          <w:b/>
          <w:color w:val="000000"/>
          <w:sz w:val="24"/>
          <w:szCs w:val="24"/>
        </w:rPr>
        <w:lastRenderedPageBreak/>
        <w:t>REFERÊNCIAS</w:t>
      </w:r>
    </w:p>
    <w:p w:rsidR="00756AC2" w:rsidRPr="000567AF" w:rsidRDefault="00756AC2" w:rsidP="000567AF">
      <w:pPr>
        <w:pStyle w:val="Normal1"/>
        <w:pBdr>
          <w:top w:val="nil"/>
          <w:left w:val="nil"/>
          <w:bottom w:val="nil"/>
          <w:right w:val="nil"/>
          <w:between w:val="nil"/>
        </w:pBdr>
        <w:spacing w:after="0"/>
        <w:contextualSpacing w:val="0"/>
        <w:jc w:val="center"/>
        <w:rPr>
          <w:b/>
          <w:color w:val="000000"/>
        </w:rPr>
      </w:pPr>
    </w:p>
    <w:p w:rsidR="003D3B38" w:rsidRPr="000567AF"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bookmarkStart w:id="21" w:name="_26in1rg" w:colFirst="0" w:colLast="0"/>
      <w:bookmarkStart w:id="22" w:name="_lnxbz9" w:colFirst="0" w:colLast="0"/>
      <w:bookmarkEnd w:id="21"/>
      <w:bookmarkEnd w:id="22"/>
      <w:r w:rsidRPr="000567AF">
        <w:rPr>
          <w:color w:val="222222"/>
          <w:sz w:val="24"/>
          <w:szCs w:val="24"/>
          <w:shd w:val="clear" w:color="auto" w:fill="FFFFFF"/>
        </w:rPr>
        <w:t>ALEM, Ana. </w:t>
      </w:r>
      <w:r w:rsidRPr="000567AF">
        <w:rPr>
          <w:b/>
          <w:bCs/>
          <w:color w:val="222222"/>
          <w:sz w:val="24"/>
          <w:szCs w:val="24"/>
          <w:shd w:val="clear" w:color="auto" w:fill="FFFFFF"/>
        </w:rPr>
        <w:t>Macroeconomia: teoria e prática no Brasil</w:t>
      </w:r>
      <w:r w:rsidRPr="000567AF">
        <w:rPr>
          <w:color w:val="222222"/>
          <w:sz w:val="24"/>
          <w:szCs w:val="24"/>
          <w:shd w:val="clear" w:color="auto" w:fill="FFFFFF"/>
        </w:rPr>
        <w:t>. Elsevier Brasil, 2018.</w:t>
      </w:r>
      <w:r w:rsidRPr="000567AF">
        <w:rPr>
          <w:color w:val="000000"/>
          <w:sz w:val="24"/>
          <w:szCs w:val="24"/>
        </w:rPr>
        <w:t xml:space="preserve"> </w:t>
      </w:r>
    </w:p>
    <w:p w:rsidR="003D3B38"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23" w:name="_35nkun2" w:colFirst="0" w:colLast="0"/>
      <w:bookmarkEnd w:id="23"/>
      <w:r w:rsidRPr="000567AF">
        <w:rPr>
          <w:color w:val="222222"/>
          <w:sz w:val="24"/>
          <w:szCs w:val="24"/>
          <w:shd w:val="clear" w:color="auto" w:fill="FFFFFF"/>
        </w:rPr>
        <w:t>ARAÚJO, Gustavo Silva; VICENTE, José Valentim Machado. Estimação da Inflação Implícita de Curto Prazo. </w:t>
      </w:r>
      <w:r w:rsidRPr="000567AF">
        <w:rPr>
          <w:b/>
          <w:bCs/>
          <w:color w:val="222222"/>
          <w:sz w:val="24"/>
          <w:szCs w:val="24"/>
          <w:shd w:val="clear" w:color="auto" w:fill="FFFFFF"/>
        </w:rPr>
        <w:t>Revista Brasileira de Finanças</w:t>
      </w:r>
      <w:r w:rsidRPr="000567AF">
        <w:rPr>
          <w:color w:val="222222"/>
          <w:sz w:val="24"/>
          <w:szCs w:val="24"/>
          <w:shd w:val="clear" w:color="auto" w:fill="FFFFFF"/>
        </w:rPr>
        <w:t>, v. 15, n. 2, p. 227-250, 2017.</w:t>
      </w:r>
    </w:p>
    <w:p w:rsidR="00A70762" w:rsidRPr="000567AF" w:rsidRDefault="00A70762"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r>
        <w:rPr>
          <w:color w:val="222222"/>
          <w:sz w:val="24"/>
          <w:szCs w:val="24"/>
          <w:shd w:val="clear" w:color="auto" w:fill="FFFFFF"/>
        </w:rPr>
        <w:t xml:space="preserve">BACEN, Banco </w:t>
      </w:r>
      <w:r w:rsidRPr="00A70762">
        <w:rPr>
          <w:color w:val="222222"/>
          <w:sz w:val="24"/>
          <w:szCs w:val="24"/>
          <w:shd w:val="clear" w:color="auto" w:fill="FFFFFF"/>
        </w:rPr>
        <w:t xml:space="preserve">Central do Brasil. Disponível em: </w:t>
      </w:r>
      <w:r w:rsidRPr="00A70762">
        <w:rPr>
          <w:sz w:val="24"/>
          <w:szCs w:val="24"/>
        </w:rPr>
        <w:t xml:space="preserve">https://www.bcb.gov.br/. Acesso em 1 de </w:t>
      </w:r>
      <w:r>
        <w:rPr>
          <w:sz w:val="24"/>
          <w:szCs w:val="24"/>
        </w:rPr>
        <w:t>n</w:t>
      </w:r>
      <w:r w:rsidRPr="00A70762">
        <w:rPr>
          <w:sz w:val="24"/>
          <w:szCs w:val="24"/>
        </w:rPr>
        <w:t>ov. de 2019.</w:t>
      </w:r>
    </w:p>
    <w:p w:rsidR="003D3B38" w:rsidRPr="000567AF"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bookmarkStart w:id="24" w:name="_1ksv4uv" w:colFirst="0" w:colLast="0"/>
      <w:bookmarkEnd w:id="24"/>
      <w:r w:rsidRPr="000567AF">
        <w:rPr>
          <w:color w:val="222222"/>
          <w:sz w:val="24"/>
          <w:szCs w:val="24"/>
          <w:shd w:val="clear" w:color="auto" w:fill="FFFFFF"/>
        </w:rPr>
        <w:t>BACHA, Carlos José Caetano. </w:t>
      </w:r>
      <w:r w:rsidRPr="000567AF">
        <w:rPr>
          <w:b/>
          <w:bCs/>
          <w:color w:val="222222"/>
          <w:sz w:val="24"/>
          <w:szCs w:val="24"/>
          <w:shd w:val="clear" w:color="auto" w:fill="FFFFFF"/>
        </w:rPr>
        <w:t>Macroeconomia aplicada à análise da economia brasileira</w:t>
      </w:r>
      <w:r w:rsidRPr="000567AF">
        <w:rPr>
          <w:color w:val="222222"/>
          <w:sz w:val="24"/>
          <w:szCs w:val="24"/>
          <w:shd w:val="clear" w:color="auto" w:fill="FFFFFF"/>
        </w:rPr>
        <w:t>. Edusp, 2004.</w:t>
      </w:r>
      <w:r w:rsidRPr="000567AF">
        <w:rPr>
          <w:color w:val="000000"/>
          <w:sz w:val="24"/>
          <w:szCs w:val="24"/>
        </w:rPr>
        <w:t xml:space="preserve"> </w:t>
      </w:r>
    </w:p>
    <w:p w:rsidR="003D3B38" w:rsidRPr="000567AF"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bookmarkStart w:id="25" w:name="_44sinio" w:colFirst="0" w:colLast="0"/>
      <w:bookmarkEnd w:id="25"/>
      <w:r w:rsidRPr="000567AF">
        <w:rPr>
          <w:color w:val="222222"/>
          <w:sz w:val="24"/>
          <w:szCs w:val="24"/>
          <w:shd w:val="clear" w:color="auto" w:fill="FFFFFF"/>
          <w:lang w:val="es-ES_tradnl"/>
        </w:rPr>
        <w:t>BLANCHARD, Olivier; AMIGHINI, Alessia; GIAVAZZI, Francesco. </w:t>
      </w:r>
      <w:r w:rsidRPr="000567AF">
        <w:rPr>
          <w:b/>
          <w:bCs/>
          <w:color w:val="222222"/>
          <w:sz w:val="24"/>
          <w:szCs w:val="24"/>
          <w:shd w:val="clear" w:color="auto" w:fill="FFFFFF"/>
          <w:lang w:val="es-ES_tradnl"/>
        </w:rPr>
        <w:t>Macroeconomia: una prospettiva europea</w:t>
      </w:r>
      <w:r w:rsidRPr="000567AF">
        <w:rPr>
          <w:color w:val="222222"/>
          <w:sz w:val="24"/>
          <w:szCs w:val="24"/>
          <w:shd w:val="clear" w:color="auto" w:fill="FFFFFF"/>
          <w:lang w:val="es-ES_tradnl"/>
        </w:rPr>
        <w:t xml:space="preserve">. </w:t>
      </w:r>
      <w:r w:rsidRPr="000567AF">
        <w:rPr>
          <w:color w:val="222222"/>
          <w:sz w:val="24"/>
          <w:szCs w:val="24"/>
          <w:shd w:val="clear" w:color="auto" w:fill="FFFFFF"/>
        </w:rPr>
        <w:t>Bologna: Il Mulino, 2014.</w:t>
      </w:r>
      <w:r w:rsidRPr="000567AF">
        <w:rPr>
          <w:color w:val="000000"/>
          <w:sz w:val="24"/>
          <w:szCs w:val="24"/>
        </w:rPr>
        <w:t xml:space="preserve"> </w:t>
      </w:r>
    </w:p>
    <w:p w:rsidR="003D3B38" w:rsidRPr="000567AF"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26" w:name="_2jxsxqh" w:colFirst="0" w:colLast="0"/>
      <w:bookmarkEnd w:id="26"/>
      <w:r w:rsidRPr="000567AF">
        <w:rPr>
          <w:color w:val="222222"/>
          <w:sz w:val="24"/>
          <w:szCs w:val="24"/>
          <w:shd w:val="clear" w:color="auto" w:fill="FFFFFF"/>
        </w:rPr>
        <w:t>COUTO, Sílvia VV; FRAGA, Gilberto J. O pass-through da taxa de câmbio para índices de preços: análise empírica para o Brasil. </w:t>
      </w:r>
      <w:r w:rsidRPr="000567AF">
        <w:rPr>
          <w:b/>
          <w:bCs/>
          <w:color w:val="222222"/>
          <w:sz w:val="24"/>
          <w:szCs w:val="24"/>
          <w:shd w:val="clear" w:color="auto" w:fill="FFFFFF"/>
        </w:rPr>
        <w:t>Revista de Economia Contemporânea</w:t>
      </w:r>
      <w:r w:rsidRPr="000567AF">
        <w:rPr>
          <w:color w:val="222222"/>
          <w:sz w:val="24"/>
          <w:szCs w:val="24"/>
          <w:shd w:val="clear" w:color="auto" w:fill="FFFFFF"/>
        </w:rPr>
        <w:t>, v. 18, n. 3, p. 333-356, 2014.</w:t>
      </w:r>
    </w:p>
    <w:p w:rsidR="003D3B38" w:rsidRPr="000567AF"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r w:rsidRPr="000567AF">
        <w:rPr>
          <w:color w:val="222222"/>
          <w:sz w:val="24"/>
          <w:szCs w:val="24"/>
          <w:shd w:val="clear" w:color="auto" w:fill="FFFFFF"/>
        </w:rPr>
        <w:t>FIGUEIREDO FILHO, Dalson Britto; SILVA JÚNIOR, José Alexandre da. Desvendando os Mistérios do Coeficiente de Correlação de Pearson (r). 2009.</w:t>
      </w:r>
    </w:p>
    <w:p w:rsidR="000601A9" w:rsidRPr="000567AF" w:rsidRDefault="000601A9"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r w:rsidRPr="000567AF">
        <w:rPr>
          <w:color w:val="000000"/>
          <w:sz w:val="24"/>
          <w:szCs w:val="24"/>
        </w:rPr>
        <w:t>FGV. Fundação Getúlio Vargas. Relatório do comitê de Datação de Ciclos Econômicos. Rio de Janeiro. 4 de ago. de 2015. Disponível em: &lt;https://portalibre.fgv.br/data/files/12/17/48/F4/978FE410F9AC5BD45C28C7A8/Comite%20de%20Datacao%20de%20Ciclos%20Economicos%20-%20Comunicado%20de%204_8_2015.pdf&gt; Acesso em: 28 de fev. de 2019.</w:t>
      </w:r>
    </w:p>
    <w:p w:rsidR="003D3B38" w:rsidRPr="000567AF" w:rsidRDefault="003D3B38"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lang w:val="en-US"/>
        </w:rPr>
      </w:pPr>
      <w:bookmarkStart w:id="27" w:name="_z337ya" w:colFirst="0" w:colLast="0"/>
      <w:bookmarkEnd w:id="27"/>
      <w:r w:rsidRPr="000567AF">
        <w:rPr>
          <w:color w:val="222222"/>
          <w:sz w:val="24"/>
          <w:szCs w:val="24"/>
          <w:shd w:val="clear" w:color="auto" w:fill="FFFFFF"/>
        </w:rPr>
        <w:t>FRANK, Robert H.; BERNANKE, Ben S. </w:t>
      </w:r>
      <w:r w:rsidRPr="000567AF">
        <w:rPr>
          <w:b/>
          <w:bCs/>
          <w:color w:val="222222"/>
          <w:sz w:val="24"/>
          <w:szCs w:val="24"/>
          <w:shd w:val="clear" w:color="auto" w:fill="FFFFFF"/>
        </w:rPr>
        <w:t>Princípios de economia</w:t>
      </w:r>
      <w:r w:rsidRPr="000567AF">
        <w:rPr>
          <w:color w:val="222222"/>
          <w:sz w:val="24"/>
          <w:szCs w:val="24"/>
          <w:shd w:val="clear" w:color="auto" w:fill="FFFFFF"/>
        </w:rPr>
        <w:t xml:space="preserve">. </w:t>
      </w:r>
      <w:r w:rsidRPr="000567AF">
        <w:rPr>
          <w:color w:val="222222"/>
          <w:sz w:val="24"/>
          <w:szCs w:val="24"/>
          <w:shd w:val="clear" w:color="auto" w:fill="FFFFFF"/>
          <w:lang w:val="en-US"/>
        </w:rPr>
        <w:t>AMGH Editora, 2012.</w:t>
      </w:r>
    </w:p>
    <w:p w:rsidR="00756AC2"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lang w:val="en-US"/>
        </w:rPr>
      </w:pPr>
      <w:r w:rsidRPr="000567AF">
        <w:rPr>
          <w:color w:val="222222"/>
          <w:sz w:val="24"/>
          <w:szCs w:val="24"/>
          <w:shd w:val="clear" w:color="auto" w:fill="FFFFFF"/>
          <w:lang w:val="en-US"/>
        </w:rPr>
        <w:t>GREENGARD, Samuel. Following the crowd. </w:t>
      </w:r>
      <w:r w:rsidRPr="000567AF">
        <w:rPr>
          <w:b/>
          <w:bCs/>
          <w:color w:val="222222"/>
          <w:sz w:val="24"/>
          <w:szCs w:val="24"/>
          <w:shd w:val="clear" w:color="auto" w:fill="FFFFFF"/>
          <w:lang w:val="en-US"/>
        </w:rPr>
        <w:t>Communications of the ACM</w:t>
      </w:r>
      <w:r w:rsidRPr="000567AF">
        <w:rPr>
          <w:color w:val="222222"/>
          <w:sz w:val="24"/>
          <w:szCs w:val="24"/>
          <w:shd w:val="clear" w:color="auto" w:fill="FFFFFF"/>
          <w:lang w:val="en-US"/>
        </w:rPr>
        <w:t>, v. 54, n. 2, p. 20-22, 2011.</w:t>
      </w:r>
      <w:r w:rsidR="00541507" w:rsidRPr="000567AF">
        <w:rPr>
          <w:color w:val="000000"/>
          <w:sz w:val="24"/>
          <w:szCs w:val="24"/>
          <w:lang w:val="en-US"/>
        </w:rPr>
        <w:t xml:space="preserve">. </w:t>
      </w:r>
    </w:p>
    <w:p w:rsidR="000E36D1"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28" w:name="_3j2qqm3" w:colFirst="0" w:colLast="0"/>
      <w:bookmarkStart w:id="29" w:name="_1y810tw" w:colFirst="0" w:colLast="0"/>
      <w:bookmarkEnd w:id="28"/>
      <w:bookmarkEnd w:id="29"/>
      <w:r w:rsidRPr="000567AF">
        <w:rPr>
          <w:color w:val="222222"/>
          <w:sz w:val="24"/>
          <w:szCs w:val="24"/>
          <w:shd w:val="clear" w:color="auto" w:fill="FFFFFF"/>
          <w:lang w:val="en-US"/>
        </w:rPr>
        <w:t>GREMAUD, Amaury Patrick et al. </w:t>
      </w:r>
      <w:r w:rsidRPr="000567AF">
        <w:rPr>
          <w:b/>
          <w:bCs/>
          <w:color w:val="222222"/>
          <w:sz w:val="24"/>
          <w:szCs w:val="24"/>
          <w:shd w:val="clear" w:color="auto" w:fill="FFFFFF"/>
        </w:rPr>
        <w:t>Introdução à economia</w:t>
      </w:r>
      <w:r w:rsidRPr="000567AF">
        <w:rPr>
          <w:color w:val="222222"/>
          <w:sz w:val="24"/>
          <w:szCs w:val="24"/>
          <w:shd w:val="clear" w:color="auto" w:fill="FFFFFF"/>
        </w:rPr>
        <w:t>. Editora Saraiva, 2017.</w:t>
      </w:r>
    </w:p>
    <w:p w:rsidR="00A70762" w:rsidRPr="000567AF" w:rsidRDefault="00A70762"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r>
        <w:rPr>
          <w:color w:val="222222"/>
          <w:sz w:val="24"/>
          <w:szCs w:val="24"/>
          <w:shd w:val="clear" w:color="auto" w:fill="FFFFFF"/>
        </w:rPr>
        <w:t>IBGE. Instituto Brasileiro de</w:t>
      </w:r>
      <w:r w:rsidRPr="00A70762">
        <w:rPr>
          <w:color w:val="222222"/>
          <w:sz w:val="24"/>
          <w:szCs w:val="24"/>
          <w:shd w:val="clear" w:color="auto" w:fill="FFFFFF"/>
        </w:rPr>
        <w:t xml:space="preserve"> Geografia e Estatística. Disponível em </w:t>
      </w:r>
      <w:r w:rsidRPr="00A70762">
        <w:rPr>
          <w:sz w:val="24"/>
          <w:szCs w:val="24"/>
        </w:rPr>
        <w:t xml:space="preserve">https://www.ibge.gov.br/. Acesso em 1 de </w:t>
      </w:r>
      <w:r>
        <w:rPr>
          <w:sz w:val="24"/>
          <w:szCs w:val="24"/>
        </w:rPr>
        <w:t>n</w:t>
      </w:r>
      <w:r w:rsidRPr="00A70762">
        <w:rPr>
          <w:sz w:val="24"/>
          <w:szCs w:val="24"/>
        </w:rPr>
        <w:t>ov. de 2019.</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30" w:name="_4i7ojhp" w:colFirst="0" w:colLast="0"/>
      <w:bookmarkEnd w:id="30"/>
      <w:r w:rsidRPr="000567AF">
        <w:rPr>
          <w:color w:val="222222"/>
          <w:sz w:val="24"/>
          <w:szCs w:val="24"/>
          <w:shd w:val="clear" w:color="auto" w:fill="FFFFFF"/>
        </w:rPr>
        <w:t>LUIS FERNANDO MAHLMANN, Heinek. Macroeconomia. 2010.</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bookmarkStart w:id="31" w:name="_2xcytpi" w:colFirst="0" w:colLast="0"/>
      <w:bookmarkEnd w:id="31"/>
      <w:r w:rsidRPr="000567AF">
        <w:rPr>
          <w:color w:val="222222"/>
          <w:sz w:val="24"/>
          <w:szCs w:val="24"/>
          <w:shd w:val="clear" w:color="auto" w:fill="FFFFFF"/>
        </w:rPr>
        <w:t>MANHIÇA, Félix António; JORGE, Caroline Teixeira. </w:t>
      </w:r>
      <w:r w:rsidRPr="000567AF">
        <w:rPr>
          <w:b/>
          <w:bCs/>
          <w:color w:val="222222"/>
          <w:sz w:val="24"/>
          <w:szCs w:val="24"/>
          <w:shd w:val="clear" w:color="auto" w:fill="FFFFFF"/>
        </w:rPr>
        <w:t>O nível da taxa básica de juros e o spread bancário no Brasil: uma análise de dados em painel</w:t>
      </w:r>
      <w:r w:rsidRPr="000567AF">
        <w:rPr>
          <w:color w:val="222222"/>
          <w:sz w:val="24"/>
          <w:szCs w:val="24"/>
          <w:shd w:val="clear" w:color="auto" w:fill="FFFFFF"/>
        </w:rPr>
        <w:t>. Texto para Discussão, Instituto de Pesquisa Econômica Aplicada (IPEA), 2012.</w:t>
      </w:r>
      <w:r w:rsidRPr="000567AF">
        <w:rPr>
          <w:color w:val="000000"/>
          <w:sz w:val="24"/>
          <w:szCs w:val="24"/>
        </w:rPr>
        <w:t xml:space="preserve"> </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32" w:name="_1ci93xb" w:colFirst="0" w:colLast="0"/>
      <w:bookmarkEnd w:id="32"/>
      <w:r w:rsidRPr="000567AF">
        <w:rPr>
          <w:color w:val="222222"/>
          <w:sz w:val="24"/>
          <w:szCs w:val="24"/>
          <w:shd w:val="clear" w:color="auto" w:fill="FFFFFF"/>
        </w:rPr>
        <w:t>MATIAS, Rogério. </w:t>
      </w:r>
      <w:r w:rsidRPr="000567AF">
        <w:rPr>
          <w:b/>
          <w:bCs/>
          <w:color w:val="222222"/>
          <w:sz w:val="24"/>
          <w:szCs w:val="24"/>
          <w:shd w:val="clear" w:color="auto" w:fill="FFFFFF"/>
        </w:rPr>
        <w:t>Cálculo Financeiro. Teoria e Prática</w:t>
      </w:r>
      <w:r w:rsidRPr="000567AF">
        <w:rPr>
          <w:color w:val="222222"/>
          <w:sz w:val="24"/>
          <w:szCs w:val="24"/>
          <w:shd w:val="clear" w:color="auto" w:fill="FFFFFF"/>
        </w:rPr>
        <w:t>. Escolar Editora, 2004.</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33" w:name="_3whwml4" w:colFirst="0" w:colLast="0"/>
      <w:bookmarkEnd w:id="33"/>
      <w:r w:rsidRPr="000567AF">
        <w:rPr>
          <w:color w:val="222222"/>
          <w:sz w:val="24"/>
          <w:szCs w:val="24"/>
          <w:shd w:val="clear" w:color="auto" w:fill="FFFFFF"/>
        </w:rPr>
        <w:t>MAZUTTI, Wellington Augusto Duque. Sinalização de política monetária no Brasil: uma análise do impacto do relatório de expectativas de inflação (Focus) sobre a estrutura a termo da taxa de juros. 2010.</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lang w:val="en-US"/>
        </w:rPr>
      </w:pPr>
      <w:bookmarkStart w:id="34" w:name="_2bn6wsx" w:colFirst="0" w:colLast="0"/>
      <w:bookmarkEnd w:id="34"/>
      <w:r w:rsidRPr="000567AF">
        <w:rPr>
          <w:color w:val="222222"/>
          <w:sz w:val="24"/>
          <w:szCs w:val="24"/>
          <w:shd w:val="clear" w:color="auto" w:fill="FFFFFF"/>
        </w:rPr>
        <w:lastRenderedPageBreak/>
        <w:t>MENDONÇA, Helder Ferreira. Mecanismos de transmissão monetária e a determinação da taxa de juros: uma aplicação da regra de Taylor ao caso brasileiro. </w:t>
      </w:r>
      <w:r w:rsidRPr="000567AF">
        <w:rPr>
          <w:b/>
          <w:bCs/>
          <w:color w:val="222222"/>
          <w:sz w:val="24"/>
          <w:szCs w:val="24"/>
          <w:shd w:val="clear" w:color="auto" w:fill="FFFFFF"/>
          <w:lang w:val="en-US"/>
        </w:rPr>
        <w:t>Economia e Sociedade</w:t>
      </w:r>
      <w:r w:rsidRPr="000567AF">
        <w:rPr>
          <w:color w:val="222222"/>
          <w:sz w:val="24"/>
          <w:szCs w:val="24"/>
          <w:shd w:val="clear" w:color="auto" w:fill="FFFFFF"/>
          <w:lang w:val="en-US"/>
        </w:rPr>
        <w:t>, v. 10, n. 1, p. 65-81, 2001.</w:t>
      </w:r>
    </w:p>
    <w:p w:rsidR="000E36D1"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lang w:val="en-US"/>
        </w:rPr>
      </w:pPr>
      <w:bookmarkStart w:id="35" w:name="_qsh70q" w:colFirst="0" w:colLast="0"/>
      <w:bookmarkEnd w:id="35"/>
      <w:r w:rsidRPr="000567AF">
        <w:rPr>
          <w:color w:val="222222"/>
          <w:sz w:val="24"/>
          <w:szCs w:val="24"/>
          <w:shd w:val="clear" w:color="auto" w:fill="FFFFFF"/>
          <w:lang w:val="en-US"/>
        </w:rPr>
        <w:t>MINELLA, André et al. Inflation targeting in Brazil: constructing credibility under exchange rate volatility. </w:t>
      </w:r>
      <w:r w:rsidRPr="000567AF">
        <w:rPr>
          <w:b/>
          <w:bCs/>
          <w:color w:val="222222"/>
          <w:sz w:val="24"/>
          <w:szCs w:val="24"/>
          <w:shd w:val="clear" w:color="auto" w:fill="FFFFFF"/>
          <w:lang w:val="en-US"/>
        </w:rPr>
        <w:t>Journal of international Money and Finance</w:t>
      </w:r>
      <w:r w:rsidRPr="000567AF">
        <w:rPr>
          <w:color w:val="222222"/>
          <w:sz w:val="24"/>
          <w:szCs w:val="24"/>
          <w:shd w:val="clear" w:color="auto" w:fill="FFFFFF"/>
          <w:lang w:val="en-US"/>
        </w:rPr>
        <w:t>, v. 22, n. 7, p. 1015-1040, 2003.</w:t>
      </w:r>
    </w:p>
    <w:p w:rsidR="00A256C0" w:rsidRPr="00A256C0" w:rsidRDefault="00A256C0" w:rsidP="00A256C0">
      <w:pPr>
        <w:pStyle w:val="Normal1"/>
        <w:pBdr>
          <w:top w:val="nil"/>
          <w:left w:val="nil"/>
          <w:bottom w:val="nil"/>
          <w:right w:val="nil"/>
          <w:between w:val="nil"/>
        </w:pBdr>
        <w:tabs>
          <w:tab w:val="clear" w:pos="709"/>
          <w:tab w:val="left" w:pos="0"/>
        </w:tabs>
        <w:spacing w:after="120" w:line="240" w:lineRule="auto"/>
        <w:ind w:hanging="11"/>
        <w:contextualSpacing w:val="0"/>
        <w:jc w:val="left"/>
        <w:rPr>
          <w:b/>
          <w:bCs/>
          <w:color w:val="222222"/>
          <w:sz w:val="24"/>
          <w:szCs w:val="24"/>
          <w:shd w:val="clear" w:color="auto" w:fill="FFFFFF"/>
        </w:rPr>
      </w:pPr>
      <w:r w:rsidRPr="00A256C0">
        <w:rPr>
          <w:color w:val="222222"/>
          <w:sz w:val="24"/>
          <w:szCs w:val="24"/>
          <w:shd w:val="clear" w:color="auto" w:fill="FFFFFF"/>
        </w:rPr>
        <w:t xml:space="preserve">SALGADO, Raquel. </w:t>
      </w:r>
      <w:r w:rsidRPr="00A256C0">
        <w:rPr>
          <w:b/>
          <w:bCs/>
          <w:color w:val="222222"/>
          <w:sz w:val="24"/>
          <w:szCs w:val="24"/>
          <w:shd w:val="clear" w:color="auto" w:fill="FFFFFF"/>
        </w:rPr>
        <w:t xml:space="preserve">Como o impeachment afeta seus investimentos. </w:t>
      </w:r>
      <w:r w:rsidRPr="00A256C0">
        <w:rPr>
          <w:bCs/>
          <w:color w:val="222222"/>
          <w:sz w:val="24"/>
          <w:szCs w:val="24"/>
          <w:shd w:val="clear" w:color="auto" w:fill="FFFFFF"/>
        </w:rPr>
        <w:t xml:space="preserve">Época Negócios. 11 de mai. 2016. Disponível em: </w:t>
      </w:r>
      <w:r w:rsidRPr="00A256C0">
        <w:rPr>
          <w:b/>
          <w:bCs/>
          <w:color w:val="222222"/>
          <w:sz w:val="24"/>
          <w:szCs w:val="24"/>
          <w:shd w:val="clear" w:color="auto" w:fill="FFFFFF"/>
        </w:rPr>
        <w:t>&lt;</w:t>
      </w:r>
      <w:r w:rsidRPr="00A256C0">
        <w:rPr>
          <w:sz w:val="24"/>
          <w:szCs w:val="24"/>
        </w:rPr>
        <w:t xml:space="preserve"> https://epocanegocios.globo.com/Dinheiro/noticia/2016/05/como-o-impeachment-afeta-seus-investimentos.html&gt; Acesso em: 5 de jan. de 2020.</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bookmarkStart w:id="36" w:name="_3as4poj" w:colFirst="0" w:colLast="0"/>
      <w:bookmarkEnd w:id="36"/>
      <w:r w:rsidRPr="000567AF">
        <w:rPr>
          <w:color w:val="222222"/>
          <w:sz w:val="24"/>
          <w:szCs w:val="24"/>
          <w:shd w:val="clear" w:color="auto" w:fill="FFFFFF"/>
          <w:lang w:val="es-ES_tradnl"/>
        </w:rPr>
        <w:t xml:space="preserve">TABAK, Benjamin Miranda et al. </w:t>
      </w:r>
      <w:r w:rsidRPr="000567AF">
        <w:rPr>
          <w:color w:val="222222"/>
          <w:sz w:val="24"/>
          <w:szCs w:val="24"/>
          <w:shd w:val="clear" w:color="auto" w:fill="FFFFFF"/>
          <w:lang w:val="en-US"/>
        </w:rPr>
        <w:t>Monetary policy surprises and the Brazilian term structure of interest rates. </w:t>
      </w:r>
      <w:r w:rsidRPr="000567AF">
        <w:rPr>
          <w:b/>
          <w:bCs/>
          <w:color w:val="222222"/>
          <w:sz w:val="24"/>
          <w:szCs w:val="24"/>
          <w:shd w:val="clear" w:color="auto" w:fill="FFFFFF"/>
        </w:rPr>
        <w:t>Banco Central do Brasil Working Paper Series</w:t>
      </w:r>
      <w:r w:rsidRPr="000567AF">
        <w:rPr>
          <w:color w:val="222222"/>
          <w:sz w:val="24"/>
          <w:szCs w:val="24"/>
          <w:shd w:val="clear" w:color="auto" w:fill="FFFFFF"/>
        </w:rPr>
        <w:t>, v. 70, 2003.</w:t>
      </w:r>
      <w:r w:rsidRPr="000567AF">
        <w:rPr>
          <w:color w:val="000000"/>
          <w:sz w:val="24"/>
          <w:szCs w:val="24"/>
        </w:rPr>
        <w:t xml:space="preserve"> </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000000"/>
          <w:sz w:val="24"/>
          <w:szCs w:val="24"/>
        </w:rPr>
      </w:pPr>
      <w:bookmarkStart w:id="37" w:name="_1pxezwc" w:colFirst="0" w:colLast="0"/>
      <w:bookmarkEnd w:id="37"/>
      <w:r w:rsidRPr="000567AF">
        <w:rPr>
          <w:color w:val="222222"/>
          <w:sz w:val="24"/>
          <w:szCs w:val="24"/>
          <w:shd w:val="clear" w:color="auto" w:fill="FFFFFF"/>
        </w:rPr>
        <w:t>TRIVIÑOS, Augusto Nibaldo Silva. </w:t>
      </w:r>
      <w:r w:rsidRPr="000567AF">
        <w:rPr>
          <w:b/>
          <w:bCs/>
          <w:color w:val="222222"/>
          <w:sz w:val="24"/>
          <w:szCs w:val="24"/>
          <w:shd w:val="clear" w:color="auto" w:fill="FFFFFF"/>
        </w:rPr>
        <w:t>Bases teórico-metodológicas da pesquisa qualitativa em ciências sociais: idéias gerais para a elaboração de um projeto de pesquisa</w:t>
      </w:r>
      <w:r w:rsidRPr="000567AF">
        <w:rPr>
          <w:color w:val="222222"/>
          <w:sz w:val="24"/>
          <w:szCs w:val="24"/>
          <w:shd w:val="clear" w:color="auto" w:fill="FFFFFF"/>
        </w:rPr>
        <w:t>. Faculdades Integradas Ritter dos Reis, 2001.</w:t>
      </w:r>
      <w:r w:rsidRPr="000567AF">
        <w:rPr>
          <w:color w:val="000000"/>
          <w:sz w:val="24"/>
          <w:szCs w:val="24"/>
        </w:rPr>
        <w:t xml:space="preserve"> </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38" w:name="_49x2ik5" w:colFirst="0" w:colLast="0"/>
      <w:bookmarkEnd w:id="38"/>
      <w:r w:rsidRPr="000567AF">
        <w:rPr>
          <w:color w:val="222222"/>
          <w:sz w:val="24"/>
          <w:szCs w:val="24"/>
          <w:shd w:val="clear" w:color="auto" w:fill="FFFFFF"/>
        </w:rPr>
        <w:t>VERAS, Marina Palhano. Boletim focus: as “top 5” preveem melhor?. 2015.</w:t>
      </w:r>
    </w:p>
    <w:p w:rsidR="000E36D1"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jc w:val="left"/>
        <w:rPr>
          <w:color w:val="222222"/>
          <w:sz w:val="24"/>
          <w:szCs w:val="24"/>
          <w:shd w:val="clear" w:color="auto" w:fill="FFFFFF"/>
        </w:rPr>
      </w:pPr>
      <w:bookmarkStart w:id="39" w:name="_2p2csry" w:colFirst="0" w:colLast="0"/>
      <w:bookmarkEnd w:id="39"/>
      <w:r w:rsidRPr="000567AF">
        <w:rPr>
          <w:color w:val="222222"/>
          <w:sz w:val="24"/>
          <w:szCs w:val="24"/>
          <w:shd w:val="clear" w:color="auto" w:fill="FFFFFF"/>
        </w:rPr>
        <w:t>WEBER, Marcelo. </w:t>
      </w:r>
      <w:r w:rsidRPr="000567AF">
        <w:rPr>
          <w:b/>
          <w:bCs/>
          <w:color w:val="222222"/>
          <w:sz w:val="24"/>
          <w:szCs w:val="24"/>
          <w:shd w:val="clear" w:color="auto" w:fill="FFFFFF"/>
        </w:rPr>
        <w:t>Inflação futura: uma análise comparativa entre as expectativas do focus e as inflações implícitas nos títulos públicos</w:t>
      </w:r>
      <w:r w:rsidRPr="000567AF">
        <w:rPr>
          <w:color w:val="222222"/>
          <w:sz w:val="24"/>
          <w:szCs w:val="24"/>
          <w:shd w:val="clear" w:color="auto" w:fill="FFFFFF"/>
        </w:rPr>
        <w:t>. 2011. Tese de Doutorado.</w:t>
      </w:r>
    </w:p>
    <w:p w:rsidR="00756AC2" w:rsidRPr="000567AF" w:rsidRDefault="000E36D1" w:rsidP="00A70762">
      <w:pPr>
        <w:pStyle w:val="Normal1"/>
        <w:pBdr>
          <w:top w:val="nil"/>
          <w:left w:val="nil"/>
          <w:bottom w:val="nil"/>
          <w:right w:val="nil"/>
          <w:between w:val="nil"/>
        </w:pBdr>
        <w:tabs>
          <w:tab w:val="clear" w:pos="709"/>
          <w:tab w:val="left" w:pos="0"/>
        </w:tabs>
        <w:spacing w:after="120" w:line="240" w:lineRule="auto"/>
        <w:ind w:hanging="11"/>
        <w:contextualSpacing w:val="0"/>
        <w:rPr>
          <w:color w:val="000000"/>
          <w:sz w:val="24"/>
          <w:szCs w:val="24"/>
        </w:rPr>
      </w:pPr>
      <w:r w:rsidRPr="000567AF">
        <w:rPr>
          <w:color w:val="222222"/>
          <w:sz w:val="24"/>
          <w:szCs w:val="24"/>
          <w:shd w:val="clear" w:color="auto" w:fill="FFFFFF"/>
        </w:rPr>
        <w:t>ZANELLA, Liane Carly Hermes. Metodologia de estudo e de pesquisa em administração. </w:t>
      </w:r>
      <w:r w:rsidRPr="000567AF">
        <w:rPr>
          <w:b/>
          <w:bCs/>
          <w:color w:val="222222"/>
          <w:sz w:val="24"/>
          <w:szCs w:val="24"/>
          <w:shd w:val="clear" w:color="auto" w:fill="FFFFFF"/>
        </w:rPr>
        <w:t>Florianópolis: Departamento de Ciências da Administração/UFSC</w:t>
      </w:r>
      <w:r w:rsidRPr="000567AF">
        <w:rPr>
          <w:color w:val="222222"/>
          <w:sz w:val="24"/>
          <w:szCs w:val="24"/>
          <w:shd w:val="clear" w:color="auto" w:fill="FFFFFF"/>
        </w:rPr>
        <w:t>, 2009.</w:t>
      </w:r>
    </w:p>
    <w:p w:rsidR="00756AC2" w:rsidRPr="000567AF" w:rsidRDefault="00756AC2" w:rsidP="00A70762">
      <w:pPr>
        <w:pStyle w:val="Normal1"/>
        <w:pBdr>
          <w:top w:val="nil"/>
          <w:left w:val="nil"/>
          <w:bottom w:val="nil"/>
          <w:right w:val="nil"/>
          <w:between w:val="nil"/>
        </w:pBdr>
        <w:tabs>
          <w:tab w:val="clear" w:pos="709"/>
          <w:tab w:val="left" w:pos="0"/>
        </w:tabs>
        <w:spacing w:after="120" w:line="240" w:lineRule="auto"/>
        <w:ind w:hanging="11"/>
        <w:contextualSpacing w:val="0"/>
        <w:rPr>
          <w:color w:val="000000"/>
          <w:sz w:val="24"/>
          <w:szCs w:val="24"/>
        </w:rPr>
      </w:pPr>
    </w:p>
    <w:p w:rsidR="00756AC2" w:rsidRPr="000567AF" w:rsidRDefault="00756AC2" w:rsidP="00A70762">
      <w:pPr>
        <w:pStyle w:val="Normal1"/>
        <w:pBdr>
          <w:top w:val="nil"/>
          <w:left w:val="nil"/>
          <w:bottom w:val="nil"/>
          <w:right w:val="nil"/>
          <w:between w:val="nil"/>
        </w:pBdr>
        <w:tabs>
          <w:tab w:val="clear" w:pos="709"/>
          <w:tab w:val="left" w:pos="0"/>
        </w:tabs>
        <w:spacing w:after="120" w:line="240" w:lineRule="auto"/>
        <w:ind w:hanging="11"/>
        <w:contextualSpacing w:val="0"/>
        <w:rPr>
          <w:color w:val="000000"/>
          <w:sz w:val="24"/>
          <w:szCs w:val="24"/>
        </w:rPr>
      </w:pPr>
    </w:p>
    <w:p w:rsidR="00756AC2" w:rsidRPr="000567AF" w:rsidRDefault="00756AC2" w:rsidP="00A70762">
      <w:pPr>
        <w:pStyle w:val="Normal1"/>
        <w:pBdr>
          <w:top w:val="nil"/>
          <w:left w:val="nil"/>
          <w:bottom w:val="nil"/>
          <w:right w:val="nil"/>
          <w:between w:val="nil"/>
        </w:pBdr>
        <w:tabs>
          <w:tab w:val="clear" w:pos="709"/>
          <w:tab w:val="left" w:pos="0"/>
        </w:tabs>
        <w:spacing w:after="120" w:line="240" w:lineRule="auto"/>
        <w:ind w:hanging="11"/>
        <w:contextualSpacing w:val="0"/>
        <w:rPr>
          <w:color w:val="000000"/>
          <w:sz w:val="24"/>
          <w:szCs w:val="24"/>
        </w:rPr>
      </w:pPr>
    </w:p>
    <w:p w:rsidR="00756AC2" w:rsidRPr="000567AF" w:rsidRDefault="00756AC2" w:rsidP="00A70762">
      <w:pPr>
        <w:pStyle w:val="Normal1"/>
        <w:pBdr>
          <w:top w:val="nil"/>
          <w:left w:val="nil"/>
          <w:bottom w:val="nil"/>
          <w:right w:val="nil"/>
          <w:between w:val="nil"/>
        </w:pBdr>
        <w:tabs>
          <w:tab w:val="clear" w:pos="709"/>
          <w:tab w:val="left" w:pos="0"/>
        </w:tabs>
        <w:spacing w:after="120" w:line="240" w:lineRule="auto"/>
        <w:ind w:hanging="11"/>
        <w:contextualSpacing w:val="0"/>
        <w:rPr>
          <w:color w:val="000000"/>
          <w:sz w:val="24"/>
          <w:szCs w:val="24"/>
        </w:rPr>
      </w:pPr>
    </w:p>
    <w:p w:rsidR="00756AC2" w:rsidRPr="000567AF" w:rsidRDefault="00756AC2" w:rsidP="00A70762">
      <w:pPr>
        <w:pStyle w:val="Normal1"/>
        <w:pBdr>
          <w:top w:val="nil"/>
          <w:left w:val="nil"/>
          <w:bottom w:val="nil"/>
          <w:right w:val="nil"/>
          <w:between w:val="nil"/>
        </w:pBdr>
        <w:tabs>
          <w:tab w:val="clear" w:pos="709"/>
          <w:tab w:val="left" w:pos="0"/>
        </w:tabs>
        <w:spacing w:after="120" w:line="240" w:lineRule="auto"/>
        <w:ind w:hanging="11"/>
        <w:contextualSpacing w:val="0"/>
        <w:rPr>
          <w:color w:val="000000"/>
          <w:sz w:val="24"/>
          <w:szCs w:val="24"/>
        </w:rPr>
      </w:pPr>
    </w:p>
    <w:sectPr w:rsidR="00756AC2" w:rsidRPr="000567AF" w:rsidSect="000567AF">
      <w:headerReference w:type="default" r:id="rId30"/>
      <w:type w:val="continuous"/>
      <w:pgSz w:w="12240" w:h="15840"/>
      <w:pgMar w:top="1701" w:right="1134" w:bottom="1134" w:left="1701" w:header="1134" w:footer="1871" w:gutter="0"/>
      <w:pgNumType w:start="5"/>
      <w:cols w:space="720"/>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93B4B4" w15:done="0"/>
  <w15:commentEx w15:paraId="388831FC"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3C2D" w:rsidRDefault="00DB3C2D" w:rsidP="00756AC2">
      <w:pPr>
        <w:spacing w:after="0" w:line="240" w:lineRule="auto"/>
      </w:pPr>
      <w:r>
        <w:separator/>
      </w:r>
    </w:p>
  </w:endnote>
  <w:endnote w:type="continuationSeparator" w:id="1">
    <w:p w:rsidR="00DB3C2D" w:rsidRDefault="00DB3C2D" w:rsidP="00756A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rme">
    <w:altName w:val="Times New Roman"/>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2BA" w:rsidRDefault="00E022BA">
    <w:pPr>
      <w:pStyle w:val="Normal1"/>
      <w:spacing w:after="0"/>
      <w:contextualSpacing w:val="0"/>
      <w:rPr>
        <w:color w:val="000000"/>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3C2D" w:rsidRDefault="00DB3C2D" w:rsidP="00756AC2">
      <w:pPr>
        <w:spacing w:after="0" w:line="240" w:lineRule="auto"/>
      </w:pPr>
      <w:r>
        <w:separator/>
      </w:r>
    </w:p>
  </w:footnote>
  <w:footnote w:type="continuationSeparator" w:id="1">
    <w:p w:rsidR="00DB3C2D" w:rsidRDefault="00DB3C2D" w:rsidP="00756A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2BA" w:rsidRDefault="00E022BA">
    <w:pPr>
      <w:pStyle w:val="Normal1"/>
      <w:contextualSpacing w:val="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2BA" w:rsidRDefault="00E022BA">
    <w:pPr>
      <w:pStyle w:val="Cabealho"/>
      <w:jc w:val="right"/>
    </w:pPr>
  </w:p>
  <w:p w:rsidR="00E022BA" w:rsidRDefault="00E022BA">
    <w:pPr>
      <w:pStyle w:val="Normal1"/>
      <w:pBdr>
        <w:top w:val="nil"/>
        <w:left w:val="nil"/>
        <w:bottom w:val="nil"/>
        <w:right w:val="nil"/>
        <w:between w:val="nil"/>
      </w:pBdr>
      <w:tabs>
        <w:tab w:val="center" w:pos="4252"/>
        <w:tab w:val="right" w:pos="8504"/>
      </w:tabs>
      <w:spacing w:after="0" w:line="240" w:lineRule="auto"/>
      <w:contextualSpacing w:val="0"/>
      <w:jc w:val="center"/>
      <w:rPr>
        <w:color w:val="000000"/>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59440"/>
      <w:docPartObj>
        <w:docPartGallery w:val="Page Numbers (Top of Page)"/>
        <w:docPartUnique/>
      </w:docPartObj>
    </w:sdtPr>
    <w:sdtContent>
      <w:p w:rsidR="00E022BA" w:rsidRDefault="00E022BA">
        <w:pPr>
          <w:pStyle w:val="Cabealho"/>
          <w:jc w:val="right"/>
        </w:pPr>
        <w:r w:rsidRPr="000567AF">
          <w:rPr>
            <w:sz w:val="24"/>
            <w:szCs w:val="24"/>
          </w:rPr>
          <w:fldChar w:fldCharType="begin"/>
        </w:r>
        <w:r w:rsidRPr="000567AF">
          <w:rPr>
            <w:sz w:val="24"/>
            <w:szCs w:val="24"/>
          </w:rPr>
          <w:instrText xml:space="preserve"> PAGE   \* MERGEFORMAT </w:instrText>
        </w:r>
        <w:r w:rsidRPr="000567AF">
          <w:rPr>
            <w:sz w:val="24"/>
            <w:szCs w:val="24"/>
          </w:rPr>
          <w:fldChar w:fldCharType="separate"/>
        </w:r>
        <w:r w:rsidR="00D774FB">
          <w:rPr>
            <w:noProof/>
            <w:sz w:val="24"/>
            <w:szCs w:val="24"/>
          </w:rPr>
          <w:t>28</w:t>
        </w:r>
        <w:r w:rsidRPr="000567AF">
          <w:rPr>
            <w:sz w:val="24"/>
            <w:szCs w:val="24"/>
          </w:rPr>
          <w:fldChar w:fldCharType="end"/>
        </w:r>
      </w:p>
    </w:sdtContent>
  </w:sdt>
  <w:p w:rsidR="00E022BA" w:rsidRDefault="00E022BA">
    <w:pPr>
      <w:pStyle w:val="Normal1"/>
      <w:pBdr>
        <w:top w:val="nil"/>
        <w:left w:val="nil"/>
        <w:bottom w:val="nil"/>
        <w:right w:val="nil"/>
        <w:between w:val="nil"/>
      </w:pBdr>
      <w:tabs>
        <w:tab w:val="center" w:pos="4252"/>
        <w:tab w:val="right" w:pos="8504"/>
      </w:tabs>
      <w:spacing w:after="0" w:line="240" w:lineRule="auto"/>
      <w:contextualSpacing w:val="0"/>
      <w:jc w:val="center"/>
      <w:rPr>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580BF8"/>
    <w:multiLevelType w:val="multilevel"/>
    <w:tmpl w:val="BE9E66C2"/>
    <w:lvl w:ilvl="0">
      <w:start w:val="1"/>
      <w:numFmt w:val="decimal"/>
      <w:lvlText w:val="%1"/>
      <w:lvlJc w:val="left"/>
      <w:pPr>
        <w:ind w:left="227" w:hanging="227"/>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nsid w:val="36E4046C"/>
    <w:multiLevelType w:val="multilevel"/>
    <w:tmpl w:val="8BB4F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CF10950"/>
    <w:multiLevelType w:val="multilevel"/>
    <w:tmpl w:val="C7C6B140"/>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53E24351"/>
    <w:multiLevelType w:val="multilevel"/>
    <w:tmpl w:val="5630C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A422EDF"/>
    <w:multiLevelType w:val="multilevel"/>
    <w:tmpl w:val="A630212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56AC2"/>
    <w:rsid w:val="00022644"/>
    <w:rsid w:val="00024211"/>
    <w:rsid w:val="0003688B"/>
    <w:rsid w:val="00037560"/>
    <w:rsid w:val="000408F1"/>
    <w:rsid w:val="000567AF"/>
    <w:rsid w:val="000601A9"/>
    <w:rsid w:val="000C5DF8"/>
    <w:rsid w:val="000E1FCE"/>
    <w:rsid w:val="000E36D1"/>
    <w:rsid w:val="00105D82"/>
    <w:rsid w:val="00113A3E"/>
    <w:rsid w:val="0012080D"/>
    <w:rsid w:val="00133131"/>
    <w:rsid w:val="00151E7A"/>
    <w:rsid w:val="00157447"/>
    <w:rsid w:val="00157D41"/>
    <w:rsid w:val="001824ED"/>
    <w:rsid w:val="001855BD"/>
    <w:rsid w:val="00185EF7"/>
    <w:rsid w:val="00190D86"/>
    <w:rsid w:val="001B39E7"/>
    <w:rsid w:val="001C6D3D"/>
    <w:rsid w:val="00215D58"/>
    <w:rsid w:val="00220D74"/>
    <w:rsid w:val="002212FC"/>
    <w:rsid w:val="00253084"/>
    <w:rsid w:val="00284A50"/>
    <w:rsid w:val="002873F2"/>
    <w:rsid w:val="002D4F43"/>
    <w:rsid w:val="002E5D8B"/>
    <w:rsid w:val="002F5D70"/>
    <w:rsid w:val="00302CC6"/>
    <w:rsid w:val="00315F45"/>
    <w:rsid w:val="00343B5E"/>
    <w:rsid w:val="003717FD"/>
    <w:rsid w:val="003729EE"/>
    <w:rsid w:val="00375ED7"/>
    <w:rsid w:val="003803E2"/>
    <w:rsid w:val="003A4474"/>
    <w:rsid w:val="003B5C79"/>
    <w:rsid w:val="003C4DF5"/>
    <w:rsid w:val="003D3B38"/>
    <w:rsid w:val="003F528A"/>
    <w:rsid w:val="004005DE"/>
    <w:rsid w:val="00421F61"/>
    <w:rsid w:val="00426B48"/>
    <w:rsid w:val="004578A9"/>
    <w:rsid w:val="00480F79"/>
    <w:rsid w:val="00491538"/>
    <w:rsid w:val="004A1A5F"/>
    <w:rsid w:val="004A6727"/>
    <w:rsid w:val="004B4129"/>
    <w:rsid w:val="004C33F0"/>
    <w:rsid w:val="00511C59"/>
    <w:rsid w:val="005250B0"/>
    <w:rsid w:val="00527F8C"/>
    <w:rsid w:val="00535165"/>
    <w:rsid w:val="00541507"/>
    <w:rsid w:val="00550ED7"/>
    <w:rsid w:val="0056026E"/>
    <w:rsid w:val="00575190"/>
    <w:rsid w:val="005A79DA"/>
    <w:rsid w:val="005B3BC4"/>
    <w:rsid w:val="005D4ABA"/>
    <w:rsid w:val="005E6147"/>
    <w:rsid w:val="00645DEB"/>
    <w:rsid w:val="00664BE3"/>
    <w:rsid w:val="006938AD"/>
    <w:rsid w:val="00693DE3"/>
    <w:rsid w:val="006A5D4E"/>
    <w:rsid w:val="007202A0"/>
    <w:rsid w:val="00724C29"/>
    <w:rsid w:val="00754886"/>
    <w:rsid w:val="00756AC2"/>
    <w:rsid w:val="00761FCD"/>
    <w:rsid w:val="007978E3"/>
    <w:rsid w:val="00797B94"/>
    <w:rsid w:val="007A6334"/>
    <w:rsid w:val="007B3230"/>
    <w:rsid w:val="007D549F"/>
    <w:rsid w:val="007F7432"/>
    <w:rsid w:val="008000BE"/>
    <w:rsid w:val="00803610"/>
    <w:rsid w:val="00814500"/>
    <w:rsid w:val="0087166E"/>
    <w:rsid w:val="008F5857"/>
    <w:rsid w:val="009400E6"/>
    <w:rsid w:val="00960E73"/>
    <w:rsid w:val="00982B00"/>
    <w:rsid w:val="009C6031"/>
    <w:rsid w:val="009D61F6"/>
    <w:rsid w:val="009D68D9"/>
    <w:rsid w:val="00A12229"/>
    <w:rsid w:val="00A231F1"/>
    <w:rsid w:val="00A256C0"/>
    <w:rsid w:val="00A269C9"/>
    <w:rsid w:val="00A270DC"/>
    <w:rsid w:val="00A33595"/>
    <w:rsid w:val="00A70762"/>
    <w:rsid w:val="00A82753"/>
    <w:rsid w:val="00A82C1C"/>
    <w:rsid w:val="00A82D57"/>
    <w:rsid w:val="00A935A2"/>
    <w:rsid w:val="00AA14CA"/>
    <w:rsid w:val="00AA3567"/>
    <w:rsid w:val="00AB2E95"/>
    <w:rsid w:val="00AF0F10"/>
    <w:rsid w:val="00B028E2"/>
    <w:rsid w:val="00B051A8"/>
    <w:rsid w:val="00B476F3"/>
    <w:rsid w:val="00B7241C"/>
    <w:rsid w:val="00B82417"/>
    <w:rsid w:val="00BB4B73"/>
    <w:rsid w:val="00BC1003"/>
    <w:rsid w:val="00BC1E38"/>
    <w:rsid w:val="00BF2AD1"/>
    <w:rsid w:val="00BF5290"/>
    <w:rsid w:val="00C2406C"/>
    <w:rsid w:val="00C34676"/>
    <w:rsid w:val="00C6027E"/>
    <w:rsid w:val="00C7488D"/>
    <w:rsid w:val="00CA510D"/>
    <w:rsid w:val="00CE160F"/>
    <w:rsid w:val="00CE7832"/>
    <w:rsid w:val="00D10583"/>
    <w:rsid w:val="00D37EFA"/>
    <w:rsid w:val="00D42917"/>
    <w:rsid w:val="00D47CC1"/>
    <w:rsid w:val="00D6526E"/>
    <w:rsid w:val="00D774FB"/>
    <w:rsid w:val="00D94C43"/>
    <w:rsid w:val="00DB3C2D"/>
    <w:rsid w:val="00DF2393"/>
    <w:rsid w:val="00E022BA"/>
    <w:rsid w:val="00E045BE"/>
    <w:rsid w:val="00E04A2A"/>
    <w:rsid w:val="00E44A0C"/>
    <w:rsid w:val="00E55502"/>
    <w:rsid w:val="00E624D5"/>
    <w:rsid w:val="00E62716"/>
    <w:rsid w:val="00E719A1"/>
    <w:rsid w:val="00EC4216"/>
    <w:rsid w:val="00F02DC9"/>
    <w:rsid w:val="00F04914"/>
    <w:rsid w:val="00F228A5"/>
    <w:rsid w:val="00F63760"/>
    <w:rsid w:val="00F74B95"/>
    <w:rsid w:val="00FB04FE"/>
    <w:rsid w:val="00FC561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pt-BR" w:eastAsia="pt-BR" w:bidi="ar-SA"/>
      </w:rPr>
    </w:rPrDefault>
    <w:pPrDefault>
      <w:pPr>
        <w:tabs>
          <w:tab w:val="left" w:pos="709"/>
        </w:tabs>
        <w:spacing w:after="160" w:line="360" w:lineRule="auto"/>
        <w:contextualSpacing/>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2FC"/>
  </w:style>
  <w:style w:type="paragraph" w:styleId="Ttulo1">
    <w:name w:val="heading 1"/>
    <w:basedOn w:val="Normal1"/>
    <w:next w:val="Normal1"/>
    <w:rsid w:val="00756AC2"/>
    <w:pPr>
      <w:keepNext/>
      <w:keepLines/>
      <w:tabs>
        <w:tab w:val="left" w:pos="0"/>
      </w:tabs>
      <w:spacing w:before="240" w:after="0"/>
      <w:ind w:left="720" w:hanging="360"/>
      <w:contextualSpacing w:val="0"/>
      <w:outlineLvl w:val="0"/>
    </w:pPr>
    <w:rPr>
      <w:b/>
    </w:rPr>
  </w:style>
  <w:style w:type="paragraph" w:styleId="Ttulo2">
    <w:name w:val="heading 2"/>
    <w:basedOn w:val="Normal1"/>
    <w:next w:val="Normal1"/>
    <w:rsid w:val="00756AC2"/>
    <w:pPr>
      <w:keepNext/>
      <w:keepLines/>
      <w:spacing w:before="200" w:after="0"/>
      <w:outlineLvl w:val="1"/>
    </w:pPr>
    <w:rPr>
      <w:b/>
    </w:rPr>
  </w:style>
  <w:style w:type="paragraph" w:styleId="Ttulo3">
    <w:name w:val="heading 3"/>
    <w:basedOn w:val="Normal1"/>
    <w:next w:val="Normal1"/>
    <w:rsid w:val="00756AC2"/>
    <w:pPr>
      <w:keepNext/>
      <w:keepLines/>
      <w:spacing w:before="200" w:after="0"/>
      <w:outlineLvl w:val="2"/>
    </w:pPr>
    <w:rPr>
      <w:b/>
    </w:rPr>
  </w:style>
  <w:style w:type="paragraph" w:styleId="Ttulo4">
    <w:name w:val="heading 4"/>
    <w:basedOn w:val="Normal1"/>
    <w:next w:val="Normal1"/>
    <w:rsid w:val="00756AC2"/>
    <w:pPr>
      <w:keepNext/>
      <w:keepLines/>
      <w:spacing w:before="240" w:after="40"/>
      <w:outlineLvl w:val="3"/>
    </w:pPr>
    <w:rPr>
      <w:b/>
      <w:sz w:val="24"/>
      <w:szCs w:val="24"/>
    </w:rPr>
  </w:style>
  <w:style w:type="paragraph" w:styleId="Ttulo5">
    <w:name w:val="heading 5"/>
    <w:basedOn w:val="Normal1"/>
    <w:next w:val="Normal1"/>
    <w:rsid w:val="00756AC2"/>
    <w:pPr>
      <w:keepNext/>
      <w:keepLines/>
      <w:spacing w:before="220" w:after="40"/>
      <w:outlineLvl w:val="4"/>
    </w:pPr>
    <w:rPr>
      <w:b/>
    </w:rPr>
  </w:style>
  <w:style w:type="paragraph" w:styleId="Ttulo6">
    <w:name w:val="heading 6"/>
    <w:basedOn w:val="Normal1"/>
    <w:next w:val="Normal1"/>
    <w:rsid w:val="00756AC2"/>
    <w:pPr>
      <w:keepNext/>
      <w:keepLines/>
      <w:spacing w:before="200" w:after="40"/>
      <w:outlineLvl w:val="5"/>
    </w:pPr>
    <w:rPr>
      <w:b/>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756AC2"/>
  </w:style>
  <w:style w:type="table" w:customStyle="1" w:styleId="TableNormal1">
    <w:name w:val="Table Normal1"/>
    <w:rsid w:val="00756AC2"/>
    <w:tblPr>
      <w:tblCellMar>
        <w:top w:w="0" w:type="dxa"/>
        <w:left w:w="0" w:type="dxa"/>
        <w:bottom w:w="0" w:type="dxa"/>
        <w:right w:w="0" w:type="dxa"/>
      </w:tblCellMar>
    </w:tblPr>
  </w:style>
  <w:style w:type="paragraph" w:styleId="Ttulo">
    <w:name w:val="Title"/>
    <w:basedOn w:val="Normal1"/>
    <w:next w:val="Normal1"/>
    <w:rsid w:val="00756AC2"/>
    <w:pPr>
      <w:keepNext/>
      <w:keepLines/>
      <w:spacing w:before="480" w:after="120"/>
    </w:pPr>
    <w:rPr>
      <w:b/>
      <w:sz w:val="72"/>
      <w:szCs w:val="72"/>
    </w:rPr>
  </w:style>
  <w:style w:type="paragraph" w:styleId="Subttulo">
    <w:name w:val="Subtitle"/>
    <w:basedOn w:val="Normal1"/>
    <w:next w:val="Normal1"/>
    <w:rsid w:val="00756AC2"/>
    <w:pPr>
      <w:keepNext/>
      <w:keepLines/>
      <w:spacing w:before="360" w:after="80"/>
    </w:pPr>
    <w:rPr>
      <w:rFonts w:ascii="Georgia" w:eastAsia="Georgia" w:hAnsi="Georgia" w:cs="Georgia"/>
      <w:i/>
      <w:color w:val="666666"/>
      <w:sz w:val="48"/>
      <w:szCs w:val="48"/>
    </w:rPr>
  </w:style>
  <w:style w:type="table" w:customStyle="1" w:styleId="a">
    <w:basedOn w:val="TableNormal1"/>
    <w:rsid w:val="00756AC2"/>
    <w:tblPr>
      <w:tblStyleRowBandSize w:val="1"/>
      <w:tblStyleColBandSize w:val="1"/>
      <w:tblCellMar>
        <w:top w:w="0" w:type="dxa"/>
        <w:left w:w="0" w:type="dxa"/>
        <w:bottom w:w="0" w:type="dxa"/>
        <w:right w:w="0" w:type="dxa"/>
      </w:tblCellMar>
    </w:tblPr>
  </w:style>
  <w:style w:type="table" w:customStyle="1" w:styleId="a0">
    <w:basedOn w:val="TableNormal1"/>
    <w:rsid w:val="00756AC2"/>
    <w:tblPr>
      <w:tblStyleRowBandSize w:val="1"/>
      <w:tblStyleColBandSize w:val="1"/>
      <w:tblCellMar>
        <w:top w:w="0" w:type="dxa"/>
        <w:left w:w="115" w:type="dxa"/>
        <w:bottom w:w="0" w:type="dxa"/>
        <w:right w:w="115" w:type="dxa"/>
      </w:tblCellMar>
    </w:tblPr>
  </w:style>
  <w:style w:type="table" w:customStyle="1" w:styleId="a1">
    <w:basedOn w:val="TableNormal1"/>
    <w:rsid w:val="00756AC2"/>
    <w:tblPr>
      <w:tblStyleRowBandSize w:val="1"/>
      <w:tblStyleColBandSize w:val="1"/>
      <w:tblCellMar>
        <w:top w:w="100" w:type="dxa"/>
        <w:left w:w="100" w:type="dxa"/>
        <w:bottom w:w="100" w:type="dxa"/>
        <w:right w:w="100" w:type="dxa"/>
      </w:tblCellMar>
    </w:tblPr>
  </w:style>
  <w:style w:type="table" w:customStyle="1" w:styleId="a2">
    <w:basedOn w:val="TableNormal1"/>
    <w:rsid w:val="00756AC2"/>
    <w:tblPr>
      <w:tblStyleRowBandSize w:val="1"/>
      <w:tblStyleColBandSize w:val="1"/>
      <w:tblCellMar>
        <w:top w:w="100" w:type="dxa"/>
        <w:left w:w="100" w:type="dxa"/>
        <w:bottom w:w="100" w:type="dxa"/>
        <w:right w:w="100" w:type="dxa"/>
      </w:tblCellMar>
    </w:tblPr>
  </w:style>
  <w:style w:type="table" w:customStyle="1" w:styleId="a3">
    <w:basedOn w:val="TableNormal1"/>
    <w:rsid w:val="00756AC2"/>
    <w:tblPr>
      <w:tblStyleRowBandSize w:val="1"/>
      <w:tblStyleColBandSize w:val="1"/>
      <w:tblCellMar>
        <w:top w:w="100" w:type="dxa"/>
        <w:left w:w="100" w:type="dxa"/>
        <w:bottom w:w="100" w:type="dxa"/>
        <w:right w:w="100" w:type="dxa"/>
      </w:tblCellMar>
    </w:tblPr>
  </w:style>
  <w:style w:type="table" w:customStyle="1" w:styleId="a4">
    <w:basedOn w:val="TableNormal1"/>
    <w:rsid w:val="00756AC2"/>
    <w:tblPr>
      <w:tblStyleRowBandSize w:val="1"/>
      <w:tblStyleColBandSize w:val="1"/>
      <w:tblCellMar>
        <w:top w:w="100" w:type="dxa"/>
        <w:left w:w="100" w:type="dxa"/>
        <w:bottom w:w="100" w:type="dxa"/>
        <w:right w:w="100" w:type="dxa"/>
      </w:tblCellMar>
    </w:tblPr>
  </w:style>
  <w:style w:type="table" w:customStyle="1" w:styleId="a5">
    <w:basedOn w:val="TableNormal1"/>
    <w:rsid w:val="00756AC2"/>
    <w:tblPr>
      <w:tblStyleRowBandSize w:val="1"/>
      <w:tblStyleColBandSize w:val="1"/>
      <w:tblCellMar>
        <w:top w:w="100" w:type="dxa"/>
        <w:left w:w="100" w:type="dxa"/>
        <w:bottom w:w="100" w:type="dxa"/>
        <w:right w:w="100" w:type="dxa"/>
      </w:tblCellMar>
    </w:tblPr>
  </w:style>
  <w:style w:type="table" w:customStyle="1" w:styleId="a6">
    <w:basedOn w:val="TableNormal1"/>
    <w:rsid w:val="00756AC2"/>
    <w:tblPr>
      <w:tblStyleRowBandSize w:val="1"/>
      <w:tblStyleColBandSize w:val="1"/>
      <w:tblCellMar>
        <w:top w:w="100" w:type="dxa"/>
        <w:left w:w="100" w:type="dxa"/>
        <w:bottom w:w="100" w:type="dxa"/>
        <w:right w:w="100" w:type="dxa"/>
      </w:tblCellMar>
    </w:tblPr>
  </w:style>
  <w:style w:type="table" w:customStyle="1" w:styleId="a7">
    <w:basedOn w:val="TableNormal1"/>
    <w:rsid w:val="00756AC2"/>
    <w:tblPr>
      <w:tblStyleRowBandSize w:val="1"/>
      <w:tblStyleColBandSize w:val="1"/>
      <w:tblCellMar>
        <w:top w:w="100" w:type="dxa"/>
        <w:left w:w="100" w:type="dxa"/>
        <w:bottom w:w="100" w:type="dxa"/>
        <w:right w:w="100" w:type="dxa"/>
      </w:tblCellMar>
    </w:tblPr>
  </w:style>
  <w:style w:type="table" w:customStyle="1" w:styleId="a8">
    <w:basedOn w:val="TableNormal1"/>
    <w:rsid w:val="00756AC2"/>
    <w:tblPr>
      <w:tblStyleRowBandSize w:val="1"/>
      <w:tblStyleColBandSize w:val="1"/>
      <w:tblCellMar>
        <w:top w:w="100" w:type="dxa"/>
        <w:left w:w="100" w:type="dxa"/>
        <w:bottom w:w="100" w:type="dxa"/>
        <w:right w:w="100" w:type="dxa"/>
      </w:tblCellMar>
    </w:tblPr>
  </w:style>
  <w:style w:type="table" w:customStyle="1" w:styleId="a9">
    <w:basedOn w:val="TableNormal1"/>
    <w:rsid w:val="00756AC2"/>
    <w:rPr>
      <w:rFonts w:ascii="Carme" w:eastAsia="Carme" w:hAnsi="Carme" w:cs="Carme"/>
    </w:rPr>
    <w:tblPr>
      <w:tblStyleRowBandSize w:val="1"/>
      <w:tblStyleColBandSize w:val="1"/>
      <w:tblCellMar>
        <w:top w:w="0" w:type="dxa"/>
        <w:left w:w="108" w:type="dxa"/>
        <w:bottom w:w="0" w:type="dxa"/>
        <w:right w:w="108" w:type="dxa"/>
      </w:tblCellMar>
    </w:tblPr>
  </w:style>
  <w:style w:type="table" w:customStyle="1" w:styleId="aa">
    <w:basedOn w:val="TableNormal1"/>
    <w:rsid w:val="00756AC2"/>
    <w:tblPr>
      <w:tblStyleRowBandSize w:val="1"/>
      <w:tblStyleColBandSize w:val="1"/>
      <w:tblCellMar>
        <w:top w:w="0" w:type="dxa"/>
        <w:left w:w="115" w:type="dxa"/>
        <w:bottom w:w="0" w:type="dxa"/>
        <w:right w:w="115" w:type="dxa"/>
      </w:tblCellMar>
    </w:tblPr>
  </w:style>
  <w:style w:type="paragraph" w:styleId="Rodap">
    <w:name w:val="footer"/>
    <w:basedOn w:val="Normal"/>
    <w:link w:val="RodapChar"/>
    <w:uiPriority w:val="99"/>
    <w:semiHidden/>
    <w:unhideWhenUsed/>
    <w:rsid w:val="00CE160F"/>
    <w:pPr>
      <w:tabs>
        <w:tab w:val="clear" w:pos="709"/>
        <w:tab w:val="center" w:pos="4252"/>
        <w:tab w:val="right" w:pos="8504"/>
      </w:tabs>
      <w:spacing w:after="0" w:line="240" w:lineRule="auto"/>
    </w:pPr>
  </w:style>
  <w:style w:type="character" w:customStyle="1" w:styleId="RodapChar">
    <w:name w:val="Rodapé Char"/>
    <w:basedOn w:val="Fontepargpadro"/>
    <w:link w:val="Rodap"/>
    <w:uiPriority w:val="99"/>
    <w:semiHidden/>
    <w:rsid w:val="00CE160F"/>
  </w:style>
  <w:style w:type="paragraph" w:styleId="Cabealho">
    <w:name w:val="header"/>
    <w:basedOn w:val="Normal"/>
    <w:link w:val="CabealhoChar"/>
    <w:uiPriority w:val="99"/>
    <w:unhideWhenUsed/>
    <w:rsid w:val="00CE160F"/>
    <w:pPr>
      <w:tabs>
        <w:tab w:val="clear" w:pos="709"/>
        <w:tab w:val="center" w:pos="4252"/>
        <w:tab w:val="right" w:pos="8504"/>
      </w:tabs>
      <w:spacing w:after="0" w:line="240" w:lineRule="auto"/>
    </w:pPr>
  </w:style>
  <w:style w:type="character" w:customStyle="1" w:styleId="CabealhoChar">
    <w:name w:val="Cabeçalho Char"/>
    <w:basedOn w:val="Fontepargpadro"/>
    <w:link w:val="Cabealho"/>
    <w:uiPriority w:val="99"/>
    <w:rsid w:val="00CE160F"/>
  </w:style>
  <w:style w:type="paragraph" w:styleId="Textodebalo">
    <w:name w:val="Balloon Text"/>
    <w:basedOn w:val="Normal"/>
    <w:link w:val="TextodebaloChar"/>
    <w:uiPriority w:val="99"/>
    <w:semiHidden/>
    <w:unhideWhenUsed/>
    <w:rsid w:val="00CE160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E160F"/>
    <w:rPr>
      <w:rFonts w:ascii="Tahoma" w:hAnsi="Tahoma" w:cs="Tahoma"/>
      <w:sz w:val="16"/>
      <w:szCs w:val="16"/>
    </w:rPr>
  </w:style>
  <w:style w:type="paragraph" w:styleId="Sumrio1">
    <w:name w:val="toc 1"/>
    <w:basedOn w:val="Normal"/>
    <w:next w:val="Normal"/>
    <w:autoRedefine/>
    <w:uiPriority w:val="39"/>
    <w:unhideWhenUsed/>
    <w:rsid w:val="00CA510D"/>
    <w:pPr>
      <w:tabs>
        <w:tab w:val="clear" w:pos="709"/>
      </w:tabs>
      <w:spacing w:after="100"/>
    </w:pPr>
  </w:style>
  <w:style w:type="paragraph" w:styleId="Sumrio2">
    <w:name w:val="toc 2"/>
    <w:basedOn w:val="Normal"/>
    <w:next w:val="Normal"/>
    <w:autoRedefine/>
    <w:uiPriority w:val="39"/>
    <w:unhideWhenUsed/>
    <w:rsid w:val="00CA510D"/>
    <w:pPr>
      <w:tabs>
        <w:tab w:val="clear" w:pos="709"/>
      </w:tabs>
      <w:spacing w:after="100"/>
      <w:ind w:left="220"/>
    </w:pPr>
  </w:style>
  <w:style w:type="character" w:styleId="Hyperlink">
    <w:name w:val="Hyperlink"/>
    <w:basedOn w:val="Fontepargpadro"/>
    <w:uiPriority w:val="99"/>
    <w:unhideWhenUsed/>
    <w:rsid w:val="00CA510D"/>
    <w:rPr>
      <w:color w:val="0000FF" w:themeColor="hyperlink"/>
      <w:u w:val="single"/>
    </w:rPr>
  </w:style>
  <w:style w:type="character" w:styleId="Refdecomentrio">
    <w:name w:val="annotation reference"/>
    <w:basedOn w:val="Fontepargpadro"/>
    <w:uiPriority w:val="99"/>
    <w:semiHidden/>
    <w:unhideWhenUsed/>
    <w:rsid w:val="00E719A1"/>
    <w:rPr>
      <w:sz w:val="16"/>
      <w:szCs w:val="16"/>
    </w:rPr>
  </w:style>
  <w:style w:type="paragraph" w:styleId="Textodecomentrio">
    <w:name w:val="annotation text"/>
    <w:basedOn w:val="Normal"/>
    <w:link w:val="TextodecomentrioChar"/>
    <w:uiPriority w:val="99"/>
    <w:semiHidden/>
    <w:unhideWhenUsed/>
    <w:rsid w:val="00E719A1"/>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E719A1"/>
    <w:rPr>
      <w:sz w:val="20"/>
      <w:szCs w:val="20"/>
    </w:rPr>
  </w:style>
  <w:style w:type="paragraph" w:styleId="Assuntodocomentrio">
    <w:name w:val="annotation subject"/>
    <w:basedOn w:val="Textodecomentrio"/>
    <w:next w:val="Textodecomentrio"/>
    <w:link w:val="AssuntodocomentrioChar"/>
    <w:uiPriority w:val="99"/>
    <w:semiHidden/>
    <w:unhideWhenUsed/>
    <w:rsid w:val="00E719A1"/>
    <w:rPr>
      <w:b/>
      <w:bCs/>
    </w:rPr>
  </w:style>
  <w:style w:type="character" w:customStyle="1" w:styleId="AssuntodocomentrioChar">
    <w:name w:val="Assunto do comentário Char"/>
    <w:basedOn w:val="TextodecomentrioChar"/>
    <w:link w:val="Assuntodocomentrio"/>
    <w:uiPriority w:val="99"/>
    <w:semiHidden/>
    <w:rsid w:val="00E719A1"/>
    <w:rPr>
      <w:b/>
      <w:bCs/>
      <w:sz w:val="20"/>
      <w:szCs w:val="20"/>
    </w:rPr>
  </w:style>
  <w:style w:type="table" w:styleId="Tabelacomgrade">
    <w:name w:val="Table Grid"/>
    <w:basedOn w:val="Tabelanormal"/>
    <w:uiPriority w:val="59"/>
    <w:rsid w:val="00693DE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360958">
      <w:bodyDiv w:val="1"/>
      <w:marLeft w:val="0"/>
      <w:marRight w:val="0"/>
      <w:marTop w:val="0"/>
      <w:marBottom w:val="0"/>
      <w:divBdr>
        <w:top w:val="none" w:sz="0" w:space="0" w:color="auto"/>
        <w:left w:val="none" w:sz="0" w:space="0" w:color="auto"/>
        <w:bottom w:val="none" w:sz="0" w:space="0" w:color="auto"/>
        <w:right w:val="none" w:sz="0" w:space="0" w:color="auto"/>
      </w:divBdr>
    </w:div>
    <w:div w:id="1237210325">
      <w:bodyDiv w:val="1"/>
      <w:marLeft w:val="0"/>
      <w:marRight w:val="0"/>
      <w:marTop w:val="0"/>
      <w:marBottom w:val="0"/>
      <w:divBdr>
        <w:top w:val="none" w:sz="0" w:space="0" w:color="auto"/>
        <w:left w:val="none" w:sz="0" w:space="0" w:color="auto"/>
        <w:bottom w:val="none" w:sz="0" w:space="0" w:color="auto"/>
        <w:right w:val="none" w:sz="0" w:space="0" w:color="auto"/>
      </w:divBdr>
    </w:div>
    <w:div w:id="1521819670">
      <w:bodyDiv w:val="1"/>
      <w:marLeft w:val="0"/>
      <w:marRight w:val="0"/>
      <w:marTop w:val="0"/>
      <w:marBottom w:val="0"/>
      <w:divBdr>
        <w:top w:val="none" w:sz="0" w:space="0" w:color="auto"/>
        <w:left w:val="none" w:sz="0" w:space="0" w:color="auto"/>
        <w:bottom w:val="none" w:sz="0" w:space="0" w:color="auto"/>
        <w:right w:val="none" w:sz="0" w:space="0" w:color="auto"/>
      </w:divBdr>
    </w:div>
    <w:div w:id="1832990909">
      <w:bodyDiv w:val="1"/>
      <w:marLeft w:val="0"/>
      <w:marRight w:val="0"/>
      <w:marTop w:val="0"/>
      <w:marBottom w:val="0"/>
      <w:divBdr>
        <w:top w:val="none" w:sz="0" w:space="0" w:color="auto"/>
        <w:left w:val="none" w:sz="0" w:space="0" w:color="auto"/>
        <w:bottom w:val="none" w:sz="0" w:space="0" w:color="auto"/>
        <w:right w:val="none" w:sz="0" w:space="0" w:color="auto"/>
      </w:divBdr>
    </w:div>
    <w:div w:id="1939560371">
      <w:bodyDiv w:val="1"/>
      <w:marLeft w:val="0"/>
      <w:marRight w:val="0"/>
      <w:marTop w:val="0"/>
      <w:marBottom w:val="0"/>
      <w:divBdr>
        <w:top w:val="none" w:sz="0" w:space="0" w:color="auto"/>
        <w:left w:val="none" w:sz="0" w:space="0" w:color="auto"/>
        <w:bottom w:val="none" w:sz="0" w:space="0" w:color="auto"/>
        <w:right w:val="none" w:sz="0" w:space="0" w:color="auto"/>
      </w:divBdr>
    </w:div>
    <w:div w:id="2014793967">
      <w:bodyDiv w:val="1"/>
      <w:marLeft w:val="0"/>
      <w:marRight w:val="0"/>
      <w:marTop w:val="0"/>
      <w:marBottom w:val="0"/>
      <w:divBdr>
        <w:top w:val="none" w:sz="0" w:space="0" w:color="auto"/>
        <w:left w:val="none" w:sz="0" w:space="0" w:color="auto"/>
        <w:bottom w:val="none" w:sz="0" w:space="0" w:color="auto"/>
        <w:right w:val="none" w:sz="0" w:space="0" w:color="auto"/>
      </w:divBdr>
    </w:div>
    <w:div w:id="20509570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9A6573-6FB2-4F9A-92F4-45CB794C8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5886</Words>
  <Characters>31790</Characters>
  <Application>Microsoft Office Word</Application>
  <DocSecurity>0</DocSecurity>
  <Lines>264</Lines>
  <Paragraphs>75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37601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Usuário do Windows</cp:lastModifiedBy>
  <cp:revision>2</cp:revision>
  <dcterms:created xsi:type="dcterms:W3CDTF">2020-01-05T13:24:00Z</dcterms:created>
  <dcterms:modified xsi:type="dcterms:W3CDTF">2020-01-05T13:24:00Z</dcterms:modified>
</cp:coreProperties>
</file>