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F9A79C" w14:textId="77777777" w:rsidR="001D6EAF" w:rsidRDefault="00000000">
      <w:pPr>
        <w:spacing w:before="8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CENTRO UNIVERSITÁRIO DE LAVRAS</w:t>
      </w:r>
    </w:p>
    <w:p w14:paraId="6C9FC6F0" w14:textId="77777777" w:rsidR="001D6EAF"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CURSO DE GRADUAÇÃO EM DIREITO</w:t>
      </w:r>
    </w:p>
    <w:p w14:paraId="489FD907" w14:textId="77777777" w:rsidR="001D6EAF" w:rsidRDefault="001D6EAF">
      <w:pPr>
        <w:spacing w:line="360" w:lineRule="auto"/>
        <w:rPr>
          <w:rFonts w:ascii="Times New Roman" w:eastAsia="Times New Roman" w:hAnsi="Times New Roman" w:cs="Times New Roman"/>
          <w:b/>
          <w:bCs/>
          <w:sz w:val="24"/>
          <w:szCs w:val="24"/>
        </w:rPr>
      </w:pPr>
    </w:p>
    <w:p w14:paraId="3755B47D" w14:textId="77777777" w:rsidR="001D6EAF" w:rsidRDefault="001D6EAF">
      <w:pPr>
        <w:spacing w:line="360" w:lineRule="auto"/>
        <w:rPr>
          <w:rFonts w:ascii="Times New Roman" w:eastAsia="Times New Roman" w:hAnsi="Times New Roman" w:cs="Times New Roman"/>
          <w:b/>
          <w:bCs/>
          <w:sz w:val="24"/>
          <w:szCs w:val="24"/>
        </w:rPr>
      </w:pPr>
    </w:p>
    <w:p w14:paraId="6DF9FC2B" w14:textId="77777777" w:rsidR="001D6EAF" w:rsidRDefault="001D6EAF">
      <w:pPr>
        <w:spacing w:line="360" w:lineRule="auto"/>
        <w:rPr>
          <w:rFonts w:ascii="Times New Roman" w:eastAsia="Times New Roman" w:hAnsi="Times New Roman" w:cs="Times New Roman"/>
          <w:b/>
          <w:bCs/>
          <w:sz w:val="24"/>
          <w:szCs w:val="24"/>
        </w:rPr>
      </w:pPr>
    </w:p>
    <w:p w14:paraId="2A4BF8E1" w14:textId="77777777" w:rsidR="001D6EAF" w:rsidRDefault="001D6EAF">
      <w:pPr>
        <w:spacing w:line="360" w:lineRule="auto"/>
        <w:rPr>
          <w:rFonts w:ascii="Times New Roman" w:eastAsia="Times New Roman" w:hAnsi="Times New Roman" w:cs="Times New Roman"/>
          <w:b/>
          <w:bCs/>
          <w:sz w:val="24"/>
          <w:szCs w:val="24"/>
        </w:rPr>
      </w:pPr>
    </w:p>
    <w:p w14:paraId="3F97A1EF" w14:textId="77777777" w:rsidR="001D6EAF" w:rsidRDefault="001D6EAF">
      <w:pPr>
        <w:spacing w:line="360" w:lineRule="auto"/>
        <w:rPr>
          <w:rFonts w:ascii="Times New Roman" w:eastAsia="Times New Roman" w:hAnsi="Times New Roman" w:cs="Times New Roman"/>
          <w:b/>
          <w:bCs/>
          <w:sz w:val="24"/>
          <w:szCs w:val="24"/>
        </w:rPr>
      </w:pPr>
    </w:p>
    <w:p w14:paraId="372C31A1" w14:textId="77777777" w:rsidR="001D6EAF" w:rsidRDefault="001D6EAF">
      <w:pPr>
        <w:spacing w:line="360" w:lineRule="auto"/>
        <w:rPr>
          <w:rFonts w:ascii="Times New Roman" w:eastAsia="Times New Roman" w:hAnsi="Times New Roman" w:cs="Times New Roman"/>
          <w:b/>
          <w:bCs/>
          <w:sz w:val="24"/>
          <w:szCs w:val="24"/>
        </w:rPr>
      </w:pPr>
    </w:p>
    <w:p w14:paraId="3578C53B" w14:textId="77777777" w:rsidR="001D6EAF" w:rsidRDefault="001D6EAF">
      <w:pPr>
        <w:spacing w:line="360" w:lineRule="auto"/>
        <w:rPr>
          <w:rFonts w:ascii="Times New Roman" w:eastAsia="Times New Roman" w:hAnsi="Times New Roman" w:cs="Times New Roman"/>
          <w:b/>
          <w:bCs/>
          <w:sz w:val="24"/>
          <w:szCs w:val="24"/>
        </w:rPr>
      </w:pPr>
    </w:p>
    <w:p w14:paraId="753336CE" w14:textId="77777777" w:rsidR="001D6EAF"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Trabalho de Conclusão de Curso</w:t>
      </w:r>
    </w:p>
    <w:p w14:paraId="48CA7CE3" w14:textId="77777777" w:rsidR="001D6EAF" w:rsidRDefault="00000000">
      <w:pPr>
        <w:spacing w:line="360" w:lineRule="auto"/>
        <w:ind w:righ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AUTONOMIZAÇÃO DO CRIME DE FEMINICÍDIO NO ORDENAMENTO PENAL BRASILEIRO: ANÁLISE CRÍTICA DA LEI Nº 14.994/2024 E SEUS IMPACTOS NO ENFRENTAMENTO À VIOLÊNCIA DE GÊNERO</w:t>
      </w:r>
    </w:p>
    <w:p w14:paraId="1B25FAA4" w14:textId="77777777" w:rsidR="001D6EAF" w:rsidRDefault="001D6EAF">
      <w:pPr>
        <w:spacing w:line="360" w:lineRule="auto"/>
        <w:ind w:right="20"/>
        <w:rPr>
          <w:rFonts w:ascii="Times New Roman" w:eastAsia="Times New Roman" w:hAnsi="Times New Roman" w:cs="Times New Roman"/>
          <w:sz w:val="24"/>
          <w:szCs w:val="24"/>
        </w:rPr>
      </w:pPr>
    </w:p>
    <w:p w14:paraId="1B0D27D1" w14:textId="77777777" w:rsidR="001D6EAF" w:rsidRDefault="001D6EAF">
      <w:pPr>
        <w:spacing w:line="360" w:lineRule="auto"/>
        <w:ind w:right="20"/>
        <w:rPr>
          <w:rFonts w:ascii="Times New Roman" w:eastAsia="Times New Roman" w:hAnsi="Times New Roman" w:cs="Times New Roman"/>
          <w:sz w:val="24"/>
          <w:szCs w:val="24"/>
        </w:rPr>
      </w:pPr>
    </w:p>
    <w:p w14:paraId="62BD4647" w14:textId="77777777" w:rsidR="001D6EAF" w:rsidRDefault="001D6EAF">
      <w:pPr>
        <w:spacing w:line="360" w:lineRule="auto"/>
        <w:ind w:right="20"/>
        <w:rPr>
          <w:rFonts w:ascii="Times New Roman" w:eastAsia="Times New Roman" w:hAnsi="Times New Roman" w:cs="Times New Roman"/>
          <w:sz w:val="24"/>
          <w:szCs w:val="24"/>
        </w:rPr>
      </w:pPr>
    </w:p>
    <w:p w14:paraId="123E0B54" w14:textId="77777777" w:rsidR="001D6EAF" w:rsidRDefault="001D6EAF">
      <w:pPr>
        <w:spacing w:line="360" w:lineRule="auto"/>
        <w:ind w:right="20"/>
        <w:rPr>
          <w:rFonts w:ascii="Times New Roman" w:eastAsia="Times New Roman" w:hAnsi="Times New Roman" w:cs="Times New Roman"/>
          <w:sz w:val="24"/>
          <w:szCs w:val="24"/>
        </w:rPr>
      </w:pPr>
    </w:p>
    <w:p w14:paraId="714560D1" w14:textId="77777777" w:rsidR="001D6EAF" w:rsidRDefault="001D6EAF">
      <w:pPr>
        <w:spacing w:line="360" w:lineRule="auto"/>
        <w:ind w:right="20"/>
        <w:rPr>
          <w:rFonts w:ascii="Times New Roman" w:eastAsia="Times New Roman" w:hAnsi="Times New Roman" w:cs="Times New Roman"/>
          <w:sz w:val="24"/>
          <w:szCs w:val="24"/>
        </w:rPr>
      </w:pPr>
    </w:p>
    <w:p w14:paraId="0DA020D3" w14:textId="77777777" w:rsidR="001D6EAF" w:rsidRDefault="001D6EAF">
      <w:pPr>
        <w:spacing w:line="360" w:lineRule="auto"/>
        <w:ind w:right="20"/>
        <w:rPr>
          <w:rFonts w:ascii="Times New Roman" w:eastAsia="Times New Roman" w:hAnsi="Times New Roman" w:cs="Times New Roman"/>
          <w:sz w:val="24"/>
          <w:szCs w:val="24"/>
        </w:rPr>
      </w:pPr>
    </w:p>
    <w:p w14:paraId="5317EB89" w14:textId="77777777" w:rsidR="001D6EAF" w:rsidRDefault="001D6EAF">
      <w:pPr>
        <w:spacing w:line="360" w:lineRule="auto"/>
        <w:ind w:right="20"/>
        <w:rPr>
          <w:rFonts w:ascii="Times New Roman" w:eastAsia="Times New Roman" w:hAnsi="Times New Roman" w:cs="Times New Roman"/>
          <w:sz w:val="24"/>
          <w:szCs w:val="24"/>
        </w:rPr>
      </w:pPr>
    </w:p>
    <w:p w14:paraId="57B3B90A" w14:textId="77777777" w:rsidR="001D6EAF" w:rsidRDefault="00000000">
      <w:pPr>
        <w:spacing w:line="360" w:lineRule="auto"/>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JÚLIA MARA SILVA</w:t>
      </w:r>
    </w:p>
    <w:p w14:paraId="24CE9F68" w14:textId="77777777" w:rsidR="001D6EAF" w:rsidRDefault="001D6EAF">
      <w:pPr>
        <w:spacing w:line="360" w:lineRule="auto"/>
        <w:jc w:val="center"/>
        <w:rPr>
          <w:rFonts w:ascii="Times New Roman" w:eastAsia="Times New Roman" w:hAnsi="Times New Roman" w:cs="Times New Roman"/>
          <w:sz w:val="24"/>
          <w:szCs w:val="24"/>
        </w:rPr>
      </w:pPr>
    </w:p>
    <w:p w14:paraId="25C62C67" w14:textId="77777777" w:rsidR="001D6EAF" w:rsidRDefault="001D6EAF">
      <w:pPr>
        <w:spacing w:line="360" w:lineRule="auto"/>
        <w:jc w:val="center"/>
        <w:rPr>
          <w:rFonts w:ascii="Times New Roman" w:eastAsia="Times New Roman" w:hAnsi="Times New Roman" w:cs="Times New Roman"/>
          <w:sz w:val="24"/>
          <w:szCs w:val="24"/>
        </w:rPr>
      </w:pPr>
    </w:p>
    <w:p w14:paraId="3EA23A2B" w14:textId="77777777" w:rsidR="001D6EAF" w:rsidRDefault="001D6EAF">
      <w:pPr>
        <w:spacing w:line="360" w:lineRule="auto"/>
        <w:jc w:val="center"/>
        <w:rPr>
          <w:rFonts w:ascii="Times New Roman" w:eastAsia="Times New Roman" w:hAnsi="Times New Roman" w:cs="Times New Roman"/>
          <w:b/>
          <w:bCs/>
          <w:sz w:val="24"/>
          <w:szCs w:val="24"/>
        </w:rPr>
      </w:pPr>
    </w:p>
    <w:p w14:paraId="709E59C9" w14:textId="77777777" w:rsidR="001D6EAF" w:rsidRDefault="001D6EAF">
      <w:pPr>
        <w:spacing w:line="360" w:lineRule="auto"/>
        <w:jc w:val="center"/>
        <w:rPr>
          <w:rFonts w:ascii="Times New Roman" w:eastAsia="Times New Roman" w:hAnsi="Times New Roman" w:cs="Times New Roman"/>
          <w:b/>
          <w:bCs/>
          <w:sz w:val="24"/>
          <w:szCs w:val="24"/>
        </w:rPr>
      </w:pPr>
    </w:p>
    <w:p w14:paraId="05E76FE1" w14:textId="77777777" w:rsidR="001D6EAF" w:rsidRDefault="001D6EAF">
      <w:pPr>
        <w:spacing w:line="360" w:lineRule="auto"/>
        <w:jc w:val="center"/>
        <w:rPr>
          <w:rFonts w:ascii="Times New Roman" w:eastAsia="Times New Roman" w:hAnsi="Times New Roman" w:cs="Times New Roman"/>
          <w:b/>
          <w:bCs/>
          <w:sz w:val="24"/>
          <w:szCs w:val="24"/>
        </w:rPr>
      </w:pPr>
    </w:p>
    <w:p w14:paraId="1ABBC7F5" w14:textId="77777777" w:rsidR="001D6EAF" w:rsidRDefault="001D6EAF">
      <w:pPr>
        <w:spacing w:line="360" w:lineRule="auto"/>
        <w:jc w:val="center"/>
        <w:rPr>
          <w:rFonts w:ascii="Times New Roman" w:eastAsia="Times New Roman" w:hAnsi="Times New Roman" w:cs="Times New Roman"/>
          <w:b/>
          <w:bCs/>
          <w:sz w:val="24"/>
          <w:szCs w:val="24"/>
        </w:rPr>
      </w:pPr>
    </w:p>
    <w:p w14:paraId="30F2C4D7" w14:textId="77777777" w:rsidR="001D6EAF" w:rsidRDefault="001D6EAF">
      <w:pPr>
        <w:spacing w:line="360" w:lineRule="auto"/>
        <w:jc w:val="center"/>
        <w:rPr>
          <w:rFonts w:ascii="Times New Roman" w:eastAsia="Times New Roman" w:hAnsi="Times New Roman" w:cs="Times New Roman"/>
          <w:b/>
          <w:bCs/>
          <w:sz w:val="24"/>
          <w:szCs w:val="24"/>
        </w:rPr>
      </w:pPr>
    </w:p>
    <w:p w14:paraId="6C7646D7" w14:textId="77777777" w:rsidR="001D6EAF" w:rsidRDefault="001D6EAF">
      <w:pPr>
        <w:spacing w:line="360" w:lineRule="auto"/>
        <w:jc w:val="center"/>
        <w:rPr>
          <w:rFonts w:ascii="Times New Roman" w:eastAsia="Times New Roman" w:hAnsi="Times New Roman" w:cs="Times New Roman"/>
          <w:b/>
          <w:bCs/>
          <w:sz w:val="24"/>
          <w:szCs w:val="24"/>
        </w:rPr>
      </w:pPr>
    </w:p>
    <w:p w14:paraId="1088A50A" w14:textId="77777777" w:rsidR="001D6EAF" w:rsidRDefault="001D6EAF">
      <w:pPr>
        <w:spacing w:line="360" w:lineRule="auto"/>
        <w:rPr>
          <w:rFonts w:ascii="Times New Roman" w:eastAsia="Times New Roman" w:hAnsi="Times New Roman" w:cs="Times New Roman"/>
          <w:b/>
          <w:bCs/>
          <w:sz w:val="24"/>
          <w:szCs w:val="24"/>
        </w:rPr>
      </w:pPr>
    </w:p>
    <w:p w14:paraId="653018B8" w14:textId="77777777" w:rsidR="001D6EAF" w:rsidRDefault="001D6EAF">
      <w:pPr>
        <w:spacing w:line="360" w:lineRule="auto"/>
        <w:rPr>
          <w:rFonts w:ascii="Times New Roman" w:eastAsia="Times New Roman" w:hAnsi="Times New Roman" w:cs="Times New Roman"/>
          <w:b/>
          <w:bCs/>
          <w:sz w:val="24"/>
          <w:szCs w:val="24"/>
        </w:rPr>
      </w:pPr>
    </w:p>
    <w:p w14:paraId="01312B81" w14:textId="77777777" w:rsidR="001D6EAF"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LAVRAS-MG</w:t>
      </w:r>
    </w:p>
    <w:p w14:paraId="565EB37A" w14:textId="77777777" w:rsidR="001D6EAF"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2026</w:t>
      </w:r>
    </w:p>
    <w:p w14:paraId="0A183155" w14:textId="77777777" w:rsidR="001D6EAF" w:rsidRDefault="00000000">
      <w:pPr>
        <w:spacing w:line="360" w:lineRule="auto"/>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JÚLIA MARA SILVA</w:t>
      </w:r>
    </w:p>
    <w:p w14:paraId="5D2938EF"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117A055D"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112C80C7"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73550A69"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207D6039" w14:textId="77777777" w:rsidR="001D6EAF" w:rsidRDefault="001D6EAF">
      <w:pPr>
        <w:spacing w:line="360" w:lineRule="auto"/>
        <w:ind w:right="20"/>
        <w:rPr>
          <w:rFonts w:ascii="Times New Roman" w:eastAsia="Times New Roman" w:hAnsi="Times New Roman" w:cs="Times New Roman"/>
          <w:b/>
          <w:bCs/>
          <w:sz w:val="24"/>
          <w:szCs w:val="24"/>
        </w:rPr>
      </w:pPr>
    </w:p>
    <w:p w14:paraId="04E12AC6" w14:textId="77777777" w:rsidR="001D6EAF" w:rsidRDefault="001D6EAF">
      <w:pPr>
        <w:spacing w:line="360" w:lineRule="auto"/>
        <w:ind w:right="20"/>
        <w:rPr>
          <w:rFonts w:ascii="Times New Roman" w:eastAsia="Times New Roman" w:hAnsi="Times New Roman" w:cs="Times New Roman"/>
          <w:b/>
          <w:bCs/>
          <w:sz w:val="24"/>
          <w:szCs w:val="24"/>
        </w:rPr>
      </w:pPr>
    </w:p>
    <w:p w14:paraId="4D32AD05" w14:textId="77777777" w:rsidR="001D6EAF" w:rsidRDefault="001D6EAF">
      <w:pPr>
        <w:spacing w:line="360" w:lineRule="auto"/>
        <w:ind w:right="20"/>
        <w:rPr>
          <w:rFonts w:ascii="Times New Roman" w:eastAsia="Times New Roman" w:hAnsi="Times New Roman" w:cs="Times New Roman"/>
          <w:b/>
          <w:bCs/>
          <w:sz w:val="24"/>
          <w:szCs w:val="24"/>
        </w:rPr>
      </w:pPr>
    </w:p>
    <w:p w14:paraId="2C247069" w14:textId="77777777" w:rsidR="001D6EAF" w:rsidRDefault="00000000">
      <w:pPr>
        <w:spacing w:line="360" w:lineRule="auto"/>
        <w:ind w:righ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AUTONOMIZAÇÃO DO CRIME DE FEMINICÍDIO NO ORDENAMENTO PENAL BRASILEIRO: ANÁLISE CRÍTICA DA LEI Nº 14.994/2024 E SEUS IMPACTOS NO ENFRENTAMENTO À VIOLÊNCIA DE GÊNERO</w:t>
      </w:r>
    </w:p>
    <w:p w14:paraId="0CF92C96" w14:textId="77777777" w:rsidR="001D6EAF" w:rsidRDefault="001D6EAF">
      <w:pPr>
        <w:spacing w:line="360" w:lineRule="auto"/>
        <w:ind w:right="20"/>
        <w:jc w:val="center"/>
        <w:rPr>
          <w:rFonts w:ascii="Times New Roman" w:eastAsia="Times New Roman" w:hAnsi="Times New Roman" w:cs="Times New Roman"/>
          <w:sz w:val="24"/>
          <w:szCs w:val="24"/>
        </w:rPr>
      </w:pPr>
    </w:p>
    <w:p w14:paraId="4E30320F" w14:textId="77777777" w:rsidR="001D6EAF" w:rsidRDefault="001D6EAF">
      <w:pPr>
        <w:spacing w:line="360" w:lineRule="auto"/>
        <w:ind w:right="20"/>
        <w:jc w:val="center"/>
        <w:rPr>
          <w:rFonts w:ascii="Times New Roman" w:eastAsia="Times New Roman" w:hAnsi="Times New Roman" w:cs="Times New Roman"/>
          <w:sz w:val="24"/>
          <w:szCs w:val="24"/>
        </w:rPr>
      </w:pPr>
    </w:p>
    <w:p w14:paraId="29FD52CD" w14:textId="77777777" w:rsidR="001D6EAF" w:rsidRDefault="001D6EAF">
      <w:pPr>
        <w:spacing w:line="360" w:lineRule="auto"/>
        <w:ind w:right="20"/>
        <w:rPr>
          <w:rFonts w:ascii="Times New Roman" w:eastAsia="Times New Roman" w:hAnsi="Times New Roman" w:cs="Times New Roman"/>
          <w:sz w:val="24"/>
          <w:szCs w:val="24"/>
        </w:rPr>
      </w:pPr>
    </w:p>
    <w:p w14:paraId="765E44C8" w14:textId="77777777" w:rsidR="001D6EAF" w:rsidRDefault="001D6EAF">
      <w:pPr>
        <w:spacing w:line="240" w:lineRule="auto"/>
        <w:ind w:left="4535" w:right="20"/>
        <w:jc w:val="both"/>
        <w:rPr>
          <w:rFonts w:ascii="Times New Roman" w:eastAsia="Times New Roman" w:hAnsi="Times New Roman" w:cs="Times New Roman"/>
          <w:sz w:val="24"/>
          <w:szCs w:val="24"/>
        </w:rPr>
      </w:pPr>
    </w:p>
    <w:p w14:paraId="1981A358" w14:textId="77777777" w:rsidR="001D6EAF" w:rsidRDefault="001D6EAF">
      <w:pPr>
        <w:spacing w:line="240" w:lineRule="auto"/>
        <w:ind w:right="20"/>
        <w:jc w:val="both"/>
        <w:rPr>
          <w:rFonts w:ascii="Times New Roman" w:eastAsia="Times New Roman" w:hAnsi="Times New Roman" w:cs="Times New Roman"/>
          <w:sz w:val="24"/>
          <w:szCs w:val="24"/>
        </w:rPr>
      </w:pPr>
    </w:p>
    <w:p w14:paraId="1D643605" w14:textId="77777777" w:rsidR="001D6EAF" w:rsidRDefault="00000000">
      <w:pPr>
        <w:spacing w:line="240" w:lineRule="auto"/>
        <w:ind w:left="4535" w:right="1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Trabalho de Conclusão apresentado ao Centro Universitário de Lavras, como parte das exigências da disciplina Trabalho de Conclusão de Curso (TCC), curso de graduação em Direito.</w:t>
      </w:r>
    </w:p>
    <w:p w14:paraId="2879297F"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4B39B225"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7F741A71"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24275B90"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14F05631"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63275616" w14:textId="77777777" w:rsidR="001D6EAF" w:rsidRDefault="00000000">
      <w:pPr>
        <w:spacing w:line="360" w:lineRule="auto"/>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PROFESSOR (A)</w:t>
      </w:r>
    </w:p>
    <w:p w14:paraId="771E8459" w14:textId="77777777" w:rsidR="001D6EAF" w:rsidRDefault="00000000">
      <w:pPr>
        <w:spacing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Profª</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ª. Walkíria Oliveira Freitas</w:t>
      </w:r>
    </w:p>
    <w:p w14:paraId="68C83BEC"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64AFB4A8"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43B28EC3"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341BA0BD"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22F23A98"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41BE9B15"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48504181" w14:textId="77777777" w:rsidR="001D6EAF" w:rsidRDefault="00000000">
      <w:pPr>
        <w:spacing w:line="360" w:lineRule="auto"/>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LAVRAS-MG</w:t>
      </w:r>
    </w:p>
    <w:p w14:paraId="49EDD9A4" w14:textId="77777777" w:rsidR="001D6EAF" w:rsidRDefault="00000000">
      <w:pPr>
        <w:spacing w:line="360" w:lineRule="auto"/>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2026</w:t>
      </w:r>
    </w:p>
    <w:p w14:paraId="44C33202"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0F6250DE"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49C51BD4"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29C98349"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32BE573F"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4B25C98D"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03B212DF"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618AB706"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219C3BFF"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01B65ED0"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4C5FF561"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18555D57"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1DEA8795"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496022B7"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08209A2E"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041BAB6E" w14:textId="77777777" w:rsidR="00DF54A4" w:rsidRDefault="00000000" w:rsidP="00DF54A4">
      <w:pPr>
        <w:spacing w:line="360" w:lineRule="auto"/>
        <w:ind w:right="20"/>
        <w:jc w:val="center"/>
        <w:rPr>
          <w:rFonts w:ascii="Times New Roman" w:eastAsia="Times New Roman" w:hAnsi="Times New Roman" w:cs="Times New Roman"/>
          <w:sz w:val="24"/>
          <w:szCs w:val="24"/>
        </w:rPr>
      </w:pPr>
      <w:r w:rsidRPr="00DF54A4">
        <w:rPr>
          <w:rFonts w:ascii="Times New Roman" w:eastAsia="Times New Roman" w:hAnsi="Times New Roman" w:cs="Times New Roman"/>
          <w:sz w:val="24"/>
          <w:szCs w:val="24"/>
        </w:rPr>
        <w:t>Ficha Catalográfica preparada pelo Setor d</w:t>
      </w:r>
      <w:r w:rsidR="00DF54A4">
        <w:rPr>
          <w:rFonts w:ascii="Times New Roman" w:eastAsia="Times New Roman" w:hAnsi="Times New Roman" w:cs="Times New Roman"/>
          <w:sz w:val="24"/>
          <w:szCs w:val="24"/>
        </w:rPr>
        <w:t xml:space="preserve">e </w:t>
      </w:r>
      <w:r w:rsidRPr="00DF54A4">
        <w:rPr>
          <w:rFonts w:ascii="Times New Roman" w:eastAsia="Times New Roman" w:hAnsi="Times New Roman" w:cs="Times New Roman"/>
          <w:sz w:val="24"/>
          <w:szCs w:val="24"/>
        </w:rPr>
        <w:t xml:space="preserve">Processamento </w:t>
      </w:r>
    </w:p>
    <w:p w14:paraId="6934BC93" w14:textId="054B14A2" w:rsidR="001D6EAF" w:rsidRPr="00DF54A4" w:rsidRDefault="00000000" w:rsidP="00DF54A4">
      <w:pPr>
        <w:spacing w:line="360" w:lineRule="auto"/>
        <w:ind w:right="20"/>
        <w:jc w:val="center"/>
        <w:rPr>
          <w:rFonts w:ascii="Times New Roman" w:eastAsia="Times New Roman" w:hAnsi="Times New Roman" w:cs="Times New Roman"/>
          <w:sz w:val="24"/>
          <w:szCs w:val="24"/>
        </w:rPr>
      </w:pPr>
      <w:r w:rsidRPr="00DF54A4">
        <w:rPr>
          <w:rFonts w:ascii="Times New Roman" w:eastAsia="Times New Roman" w:hAnsi="Times New Roman" w:cs="Times New Roman"/>
          <w:sz w:val="24"/>
          <w:szCs w:val="24"/>
        </w:rPr>
        <w:t>Técnico da Biblioteca Central do</w:t>
      </w:r>
      <w:r w:rsidR="00DF54A4">
        <w:rPr>
          <w:rFonts w:ascii="Times New Roman" w:eastAsia="Times New Roman" w:hAnsi="Times New Roman" w:cs="Times New Roman"/>
          <w:sz w:val="24"/>
          <w:szCs w:val="24"/>
        </w:rPr>
        <w:t xml:space="preserve"> </w:t>
      </w:r>
      <w:r w:rsidRPr="00DF54A4">
        <w:rPr>
          <w:rFonts w:ascii="Times New Roman" w:eastAsia="Times New Roman" w:hAnsi="Times New Roman" w:cs="Times New Roman"/>
          <w:sz w:val="24"/>
          <w:szCs w:val="24"/>
        </w:rPr>
        <w:t>UNILAVRAS</w:t>
      </w:r>
    </w:p>
    <w:p w14:paraId="27333363" w14:textId="77777777" w:rsidR="001D6EAF" w:rsidRDefault="00000000">
      <w:pPr>
        <w:spacing w:line="360" w:lineRule="auto"/>
        <w:ind w:right="20"/>
        <w:jc w:val="center"/>
        <w:rPr>
          <w:rFonts w:ascii="Times New Roman" w:eastAsia="Times New Roman" w:hAnsi="Times New Roman" w:cs="Times New Roman"/>
          <w:b/>
          <w:bCs/>
          <w:sz w:val="24"/>
          <w:szCs w:val="24"/>
        </w:rPr>
      </w:pPr>
      <w:r>
        <w:rPr>
          <w:noProof/>
        </w:rPr>
        <mc:AlternateContent>
          <mc:Choice Requires="wpg">
            <w:drawing>
              <wp:anchor distT="0" distB="0" distL="0" distR="0" simplePos="0" relativeHeight="251658240" behindDoc="0" locked="0" layoutInCell="1" hidden="0" allowOverlap="1" wp14:anchorId="4870ACB9" wp14:editId="259F1292">
                <wp:simplePos x="0" y="0"/>
                <wp:positionH relativeFrom="column">
                  <wp:posOffset>251100</wp:posOffset>
                </wp:positionH>
                <wp:positionV relativeFrom="paragraph">
                  <wp:posOffset>243818</wp:posOffset>
                </wp:positionV>
                <wp:extent cx="5260975" cy="3116580"/>
                <wp:effectExtent l="0" t="0" r="0" b="0"/>
                <wp:wrapTopAndBottom distT="0" distB="0"/>
                <wp:docPr id="1" name="Agrupar 1"/>
                <wp:cNvGraphicFramePr/>
                <a:graphic xmlns:a="http://schemas.openxmlformats.org/drawingml/2006/main">
                  <a:graphicData uri="http://schemas.microsoft.com/office/word/2010/wordprocessingGroup">
                    <wpg:wgp>
                      <wpg:cNvGrpSpPr/>
                      <wpg:grpSpPr>
                        <a:xfrm>
                          <a:off x="0" y="0"/>
                          <a:ext cx="5260975" cy="3116580"/>
                          <a:chOff x="2710750" y="2216925"/>
                          <a:chExt cx="5270000" cy="3125750"/>
                        </a:xfrm>
                      </wpg:grpSpPr>
                      <wpg:grpSp>
                        <wpg:cNvPr id="1652769781" name="Agrupar 1652769781"/>
                        <wpg:cNvGrpSpPr/>
                        <wpg:grpSpPr>
                          <a:xfrm>
                            <a:off x="2715513" y="2221710"/>
                            <a:ext cx="5260975" cy="3116580"/>
                            <a:chOff x="3047" y="3047"/>
                            <a:chExt cx="5255260" cy="3110865"/>
                          </a:xfrm>
                        </wpg:grpSpPr>
                        <wps:wsp>
                          <wps:cNvPr id="793232573" name="Retângulo 793232573"/>
                          <wps:cNvSpPr/>
                          <wps:spPr>
                            <a:xfrm>
                              <a:off x="3047" y="3047"/>
                              <a:ext cx="5255250" cy="3110850"/>
                            </a:xfrm>
                            <a:prstGeom prst="rect">
                              <a:avLst/>
                            </a:prstGeom>
                            <a:noFill/>
                            <a:ln>
                              <a:noFill/>
                            </a:ln>
                          </wps:spPr>
                          <wps:txbx>
                            <w:txbxContent>
                              <w:p w14:paraId="2879D0C9" w14:textId="77777777" w:rsidR="001D6EAF" w:rsidRDefault="001D6EAF">
                                <w:pPr>
                                  <w:spacing w:line="240" w:lineRule="auto"/>
                                  <w:textDirection w:val="btLr"/>
                                </w:pPr>
                              </w:p>
                            </w:txbxContent>
                          </wps:txbx>
                          <wps:bodyPr spcFirstLastPara="1" wrap="square" lIns="91425" tIns="91425" rIns="91425" bIns="91425" anchor="ctr" anchorCtr="0">
                            <a:noAutofit/>
                          </wps:bodyPr>
                        </wps:wsp>
                        <wps:wsp>
                          <wps:cNvPr id="1803806727" name="Forma Livre: Forma 1803806727"/>
                          <wps:cNvSpPr/>
                          <wps:spPr>
                            <a:xfrm>
                              <a:off x="3047" y="3047"/>
                              <a:ext cx="5255260" cy="3110865"/>
                            </a:xfrm>
                            <a:custGeom>
                              <a:avLst/>
                              <a:gdLst/>
                              <a:ahLst/>
                              <a:cxnLst/>
                              <a:rect l="l" t="t" r="r" b="b"/>
                              <a:pathLst>
                                <a:path w="5255260" h="3110865" extrusionOk="0">
                                  <a:moveTo>
                                    <a:pt x="0" y="3110484"/>
                                  </a:moveTo>
                                  <a:lnTo>
                                    <a:pt x="5254752" y="3110484"/>
                                  </a:lnTo>
                                  <a:lnTo>
                                    <a:pt x="5254752" y="0"/>
                                  </a:lnTo>
                                  <a:lnTo>
                                    <a:pt x="0" y="0"/>
                                  </a:lnTo>
                                  <a:lnTo>
                                    <a:pt x="0" y="3110484"/>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03558123" name="Retângulo 303558123"/>
                          <wps:cNvSpPr/>
                          <wps:spPr>
                            <a:xfrm>
                              <a:off x="140512" y="599386"/>
                              <a:ext cx="416559" cy="156845"/>
                            </a:xfrm>
                            <a:prstGeom prst="rect">
                              <a:avLst/>
                            </a:prstGeom>
                            <a:noFill/>
                            <a:ln>
                              <a:noFill/>
                            </a:ln>
                          </wps:spPr>
                          <wps:txbx>
                            <w:txbxContent>
                              <w:p w14:paraId="3D44BA55" w14:textId="77777777" w:rsidR="001D6EAF" w:rsidRDefault="00000000">
                                <w:pPr>
                                  <w:spacing w:line="247" w:lineRule="auto"/>
                                  <w:textDirection w:val="btLr"/>
                                </w:pPr>
                                <w:r>
                                  <w:rPr>
                                    <w:rFonts w:ascii="Times New Roman" w:eastAsia="Times New Roman" w:hAnsi="Times New Roman" w:cs="Times New Roman"/>
                                    <w:color w:val="000000"/>
                                  </w:rPr>
                                  <w:t>S586a</w:t>
                                </w:r>
                              </w:p>
                            </w:txbxContent>
                          </wps:txbx>
                          <wps:bodyPr spcFirstLastPara="1" wrap="square" lIns="0" tIns="0" rIns="0" bIns="0" anchor="t" anchorCtr="0">
                            <a:noAutofit/>
                          </wps:bodyPr>
                        </wps:wsp>
                        <wps:wsp>
                          <wps:cNvPr id="316056689" name="Retângulo 316056689"/>
                          <wps:cNvSpPr/>
                          <wps:spPr>
                            <a:xfrm>
                              <a:off x="800354" y="439366"/>
                              <a:ext cx="4253865" cy="1923414"/>
                            </a:xfrm>
                            <a:prstGeom prst="rect">
                              <a:avLst/>
                            </a:prstGeom>
                            <a:noFill/>
                            <a:ln>
                              <a:noFill/>
                            </a:ln>
                          </wps:spPr>
                          <wps:txbx>
                            <w:txbxContent>
                              <w:p w14:paraId="5D001806" w14:textId="77777777" w:rsidR="001D6EAF" w:rsidRDefault="00000000">
                                <w:pPr>
                                  <w:spacing w:line="245" w:lineRule="auto"/>
                                  <w:ind w:left="61" w:firstLine="61"/>
                                  <w:textDirection w:val="btLr"/>
                                </w:pPr>
                                <w:r>
                                  <w:rPr>
                                    <w:rFonts w:ascii="Times New Roman" w:eastAsia="Times New Roman" w:hAnsi="Times New Roman" w:cs="Times New Roman"/>
                                    <w:color w:val="000000"/>
                                  </w:rPr>
                                  <w:t>Silva, Júlia Mara.</w:t>
                                </w:r>
                              </w:p>
                              <w:p w14:paraId="67A68D12" w14:textId="77777777" w:rsidR="001D6EAF" w:rsidRDefault="00000000">
                                <w:pPr>
                                  <w:spacing w:line="240" w:lineRule="auto"/>
                                  <w:ind w:left="61" w:firstLine="392"/>
                                  <w:textDirection w:val="btLr"/>
                                </w:pPr>
                                <w:r>
                                  <w:rPr>
                                    <w:rFonts w:ascii="Times New Roman" w:eastAsia="Times New Roman" w:hAnsi="Times New Roman" w:cs="Times New Roman"/>
                                    <w:color w:val="000000"/>
                                  </w:rPr>
                                  <w:t xml:space="preserve">A autonomização do crime de feminicídio no ordenamento penal brasileiro: análise crítica da Lei 14.994 / 2024 e seus impactos no enfrentamento à violência de gênero / Júlia Mara Silva. – Lavras: </w:t>
                                </w:r>
                                <w:proofErr w:type="spellStart"/>
                                <w:r>
                                  <w:rPr>
                                    <w:rFonts w:ascii="Times New Roman" w:eastAsia="Times New Roman" w:hAnsi="Times New Roman" w:cs="Times New Roman"/>
                                    <w:color w:val="000000"/>
                                  </w:rPr>
                                  <w:t>Unilavras</w:t>
                                </w:r>
                                <w:proofErr w:type="spellEnd"/>
                                <w:r>
                                  <w:rPr>
                                    <w:rFonts w:ascii="Times New Roman" w:eastAsia="Times New Roman" w:hAnsi="Times New Roman" w:cs="Times New Roman"/>
                                    <w:color w:val="000000"/>
                                  </w:rPr>
                                  <w:t>, 2026.</w:t>
                                </w:r>
                              </w:p>
                              <w:p w14:paraId="7B7EE525" w14:textId="77777777" w:rsidR="001D6EAF" w:rsidRDefault="001D6EAF">
                                <w:pPr>
                                  <w:spacing w:line="240" w:lineRule="auto"/>
                                  <w:textDirection w:val="btLr"/>
                                </w:pPr>
                              </w:p>
                              <w:p w14:paraId="4E29B513" w14:textId="77777777" w:rsidR="001D6EAF" w:rsidRDefault="00000000">
                                <w:pPr>
                                  <w:spacing w:line="240" w:lineRule="auto"/>
                                  <w:ind w:left="367" w:firstLine="367"/>
                                  <w:textDirection w:val="btLr"/>
                                </w:pPr>
                                <w:r>
                                  <w:rPr>
                                    <w:rFonts w:ascii="Times New Roman" w:eastAsia="Times New Roman" w:hAnsi="Times New Roman" w:cs="Times New Roman"/>
                                    <w:color w:val="000000"/>
                                  </w:rPr>
                                  <w:t>21f.: il.</w:t>
                                </w:r>
                              </w:p>
                              <w:p w14:paraId="311484D4" w14:textId="77777777" w:rsidR="001D6EAF" w:rsidRDefault="001D6EAF">
                                <w:pPr>
                                  <w:spacing w:line="240" w:lineRule="auto"/>
                                  <w:textDirection w:val="btLr"/>
                                </w:pPr>
                              </w:p>
                              <w:p w14:paraId="7B387435" w14:textId="77777777" w:rsidR="001D6EAF" w:rsidRDefault="00000000">
                                <w:pPr>
                                  <w:spacing w:line="240" w:lineRule="auto"/>
                                  <w:ind w:right="394" w:firstLine="367"/>
                                  <w:textDirection w:val="btLr"/>
                                </w:pPr>
                                <w:r>
                                  <w:rPr>
                                    <w:rFonts w:ascii="Times New Roman" w:eastAsia="Times New Roman" w:hAnsi="Times New Roman" w:cs="Times New Roman"/>
                                    <w:color w:val="000000"/>
                                  </w:rPr>
                                  <w:t xml:space="preserve">Monografia (Graduação em Direito) – </w:t>
                                </w:r>
                                <w:proofErr w:type="spellStart"/>
                                <w:r>
                                  <w:rPr>
                                    <w:rFonts w:ascii="Times New Roman" w:eastAsia="Times New Roman" w:hAnsi="Times New Roman" w:cs="Times New Roman"/>
                                    <w:color w:val="000000"/>
                                  </w:rPr>
                                  <w:t>Unilavras</w:t>
                                </w:r>
                                <w:proofErr w:type="spellEnd"/>
                                <w:r>
                                  <w:rPr>
                                    <w:rFonts w:ascii="Times New Roman" w:eastAsia="Times New Roman" w:hAnsi="Times New Roman" w:cs="Times New Roman"/>
                                    <w:color w:val="000000"/>
                                  </w:rPr>
                                  <w:t>, Lavras, 2026.</w:t>
                                </w:r>
                              </w:p>
                              <w:p w14:paraId="3FCF0220" w14:textId="77777777" w:rsidR="001D6EAF" w:rsidRDefault="00000000">
                                <w:pPr>
                                  <w:spacing w:before="252" w:line="240" w:lineRule="auto"/>
                                  <w:ind w:left="367" w:firstLine="367"/>
                                  <w:textDirection w:val="btLr"/>
                                </w:pPr>
                                <w:r>
                                  <w:rPr>
                                    <w:rFonts w:ascii="Times New Roman" w:eastAsia="Times New Roman" w:hAnsi="Times New Roman" w:cs="Times New Roman"/>
                                    <w:color w:val="000000"/>
                                  </w:rPr>
                                  <w:t>Orientador: Prof.ª Walkiria Oliveira Freitas.</w:t>
                                </w:r>
                              </w:p>
                            </w:txbxContent>
                          </wps:txbx>
                          <wps:bodyPr spcFirstLastPara="1" wrap="square" lIns="0" tIns="0" rIns="0" bIns="0" anchor="t" anchorCtr="0">
                            <a:noAutofit/>
                          </wps:bodyPr>
                        </wps:wsp>
                        <wps:wsp>
                          <wps:cNvPr id="829221190" name="Retângulo 829221190"/>
                          <wps:cNvSpPr/>
                          <wps:spPr>
                            <a:xfrm>
                              <a:off x="786637" y="2527627"/>
                              <a:ext cx="3669665" cy="317500"/>
                            </a:xfrm>
                            <a:prstGeom prst="rect">
                              <a:avLst/>
                            </a:prstGeom>
                            <a:noFill/>
                            <a:ln>
                              <a:noFill/>
                            </a:ln>
                          </wps:spPr>
                          <wps:txbx>
                            <w:txbxContent>
                              <w:p w14:paraId="7A9AEED0" w14:textId="77777777" w:rsidR="001D6EAF" w:rsidRDefault="00000000">
                                <w:pPr>
                                  <w:spacing w:line="245" w:lineRule="auto"/>
                                  <w:ind w:left="370" w:firstLine="370"/>
                                  <w:textDirection w:val="btLr"/>
                                </w:pPr>
                                <w:r>
                                  <w:rPr>
                                    <w:rFonts w:ascii="Times New Roman" w:eastAsia="Times New Roman" w:hAnsi="Times New Roman" w:cs="Times New Roman"/>
                                    <w:color w:val="000000"/>
                                  </w:rPr>
                                  <w:t>1. Direito penal. 2. Feminicídio. 3. Violência de Gênero.</w:t>
                                </w:r>
                              </w:p>
                              <w:p w14:paraId="24C8A477" w14:textId="77777777" w:rsidR="001D6EAF" w:rsidRDefault="00000000">
                                <w:pPr>
                                  <w:spacing w:line="253" w:lineRule="auto"/>
                                  <w:textDirection w:val="btLr"/>
                                </w:pPr>
                                <w:r>
                                  <w:rPr>
                                    <w:rFonts w:ascii="Times New Roman" w:eastAsia="Times New Roman" w:hAnsi="Times New Roman" w:cs="Times New Roman"/>
                                    <w:color w:val="000000"/>
                                  </w:rPr>
                                  <w:t>I. Freitas, Walkiria Oliveira. (Orient.). II. Título.</w:t>
                                </w:r>
                              </w:p>
                            </w:txbxContent>
                          </wps:txbx>
                          <wps:bodyPr spcFirstLastPara="1" wrap="square" lIns="0" tIns="0" rIns="0" bIns="0" anchor="t"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251100</wp:posOffset>
                </wp:positionH>
                <wp:positionV relativeFrom="paragraph">
                  <wp:posOffset>243818</wp:posOffset>
                </wp:positionV>
                <wp:extent cx="5260975" cy="3116580"/>
                <wp:effectExtent b="0" l="0" r="0" t="0"/>
                <wp:wrapTopAndBottom distB="0" distT="0"/>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5260975" cy="3116580"/>
                        </a:xfrm>
                        <a:prstGeom prst="rect"/>
                        <a:ln/>
                      </pic:spPr>
                    </pic:pic>
                  </a:graphicData>
                </a:graphic>
              </wp:anchor>
            </w:drawing>
          </mc:Fallback>
        </mc:AlternateContent>
      </w:r>
    </w:p>
    <w:p w14:paraId="72472A96"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2F39C397" w14:textId="77777777" w:rsidR="001D6EAF" w:rsidRDefault="001D6EAF">
      <w:pPr>
        <w:spacing w:line="360" w:lineRule="auto"/>
        <w:ind w:right="20"/>
        <w:rPr>
          <w:rFonts w:ascii="Times New Roman" w:eastAsia="Times New Roman" w:hAnsi="Times New Roman" w:cs="Times New Roman"/>
          <w:b/>
          <w:bCs/>
          <w:sz w:val="24"/>
          <w:szCs w:val="24"/>
        </w:rPr>
      </w:pPr>
    </w:p>
    <w:p w14:paraId="56113E83" w14:textId="77777777" w:rsidR="001D6EAF" w:rsidRDefault="00000000">
      <w:pPr>
        <w:spacing w:line="360" w:lineRule="auto"/>
        <w:ind w:right="20"/>
        <w:rPr>
          <w:rFonts w:ascii="Times New Roman" w:eastAsia="Times New Roman" w:hAnsi="Times New Roman" w:cs="Times New Roman"/>
          <w:b/>
          <w:bCs/>
          <w:sz w:val="24"/>
          <w:szCs w:val="24"/>
        </w:rPr>
      </w:pPr>
      <w:r>
        <w:br w:type="page"/>
      </w:r>
    </w:p>
    <w:p w14:paraId="6E980C71" w14:textId="77777777" w:rsidR="001D6EAF" w:rsidRDefault="00000000">
      <w:pPr>
        <w:spacing w:line="360" w:lineRule="auto"/>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JÚLIA MARA SILVA</w:t>
      </w:r>
    </w:p>
    <w:p w14:paraId="5A22379F" w14:textId="77777777" w:rsidR="001D6EAF" w:rsidRDefault="001D6EAF">
      <w:pPr>
        <w:spacing w:line="360" w:lineRule="auto"/>
        <w:ind w:right="20"/>
        <w:rPr>
          <w:rFonts w:ascii="Times New Roman" w:eastAsia="Times New Roman" w:hAnsi="Times New Roman" w:cs="Times New Roman"/>
          <w:b/>
          <w:bCs/>
          <w:sz w:val="24"/>
          <w:szCs w:val="24"/>
        </w:rPr>
      </w:pPr>
    </w:p>
    <w:p w14:paraId="6DBCB03E"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7AC2206C"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0462D0A4" w14:textId="77777777" w:rsidR="001D6EAF" w:rsidRDefault="001D6EAF">
      <w:pPr>
        <w:spacing w:line="360" w:lineRule="auto"/>
        <w:ind w:right="20"/>
        <w:rPr>
          <w:rFonts w:ascii="Times New Roman" w:eastAsia="Times New Roman" w:hAnsi="Times New Roman" w:cs="Times New Roman"/>
          <w:b/>
          <w:bCs/>
          <w:sz w:val="24"/>
          <w:szCs w:val="24"/>
        </w:rPr>
      </w:pPr>
    </w:p>
    <w:p w14:paraId="5DEACB5D" w14:textId="77777777" w:rsidR="001D6EAF" w:rsidRDefault="00000000">
      <w:pPr>
        <w:spacing w:line="360" w:lineRule="auto"/>
        <w:ind w:righ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AUTONOMIZAÇÃO DO CRIME DE FEMINICÍDIO NO ORDENAMENTO PENAL BRASILEIRO: ANÁLISE CRÍTICA DA LEI Nº 14.994/2024 E SEUS IMPACTOS NO ENFRENTAMENTO À VIOLÊNCIA DE GÊNERO</w:t>
      </w:r>
    </w:p>
    <w:p w14:paraId="138899F0" w14:textId="77777777" w:rsidR="001D6EAF" w:rsidRDefault="001D6EAF">
      <w:pPr>
        <w:spacing w:line="360" w:lineRule="auto"/>
        <w:ind w:right="20"/>
        <w:rPr>
          <w:rFonts w:ascii="Times New Roman" w:eastAsia="Times New Roman" w:hAnsi="Times New Roman" w:cs="Times New Roman"/>
          <w:sz w:val="24"/>
          <w:szCs w:val="24"/>
        </w:rPr>
      </w:pPr>
    </w:p>
    <w:p w14:paraId="7A8635EB" w14:textId="77777777" w:rsidR="001D6EAF" w:rsidRDefault="001D6EAF">
      <w:pPr>
        <w:spacing w:line="360" w:lineRule="auto"/>
        <w:ind w:right="295"/>
        <w:rPr>
          <w:rFonts w:ascii="Times New Roman" w:eastAsia="Times New Roman" w:hAnsi="Times New Roman" w:cs="Times New Roman"/>
          <w:sz w:val="24"/>
          <w:szCs w:val="24"/>
        </w:rPr>
      </w:pPr>
    </w:p>
    <w:p w14:paraId="09CF7F3F" w14:textId="77777777" w:rsidR="001D6EAF" w:rsidRDefault="00000000">
      <w:pPr>
        <w:spacing w:line="240" w:lineRule="auto"/>
        <w:ind w:left="4535" w:right="2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Trabalho de Conclusão apresentado ao Centro Universitário de Lavras, como parte das exigências da disciplina Trabalho de Conclusão de Curso (TCC), curso de graduação em Direito.</w:t>
      </w:r>
    </w:p>
    <w:p w14:paraId="78514590"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081E50AC" w14:textId="77777777" w:rsidR="001D6EAF" w:rsidRDefault="001D6EAF">
      <w:pPr>
        <w:spacing w:line="360" w:lineRule="auto"/>
        <w:jc w:val="center"/>
        <w:rPr>
          <w:rFonts w:ascii="Times New Roman" w:eastAsia="Times New Roman" w:hAnsi="Times New Roman" w:cs="Times New Roman"/>
          <w:b/>
          <w:bCs/>
          <w:sz w:val="24"/>
          <w:szCs w:val="24"/>
        </w:rPr>
      </w:pPr>
    </w:p>
    <w:p w14:paraId="1DFE9F8D" w14:textId="4E9278EB" w:rsidR="001D6EAF" w:rsidRPr="00DB7B2D" w:rsidRDefault="00000000" w:rsidP="00DB7B2D">
      <w:pPr>
        <w:spacing w:line="36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Aprovado em 27/05/2026</w:t>
      </w:r>
    </w:p>
    <w:p w14:paraId="4C3BACC1" w14:textId="77777777" w:rsidR="001D6EAF" w:rsidRDefault="001D6EAF">
      <w:pPr>
        <w:spacing w:line="360" w:lineRule="auto"/>
        <w:jc w:val="center"/>
        <w:rPr>
          <w:rFonts w:ascii="Times New Roman" w:eastAsia="Times New Roman" w:hAnsi="Times New Roman" w:cs="Times New Roman"/>
          <w:b/>
          <w:bCs/>
          <w:sz w:val="24"/>
          <w:szCs w:val="24"/>
        </w:rPr>
      </w:pPr>
    </w:p>
    <w:p w14:paraId="68750AB1" w14:textId="0CE8C5F4" w:rsidR="001D6EAF" w:rsidRDefault="00000000" w:rsidP="00DB7B2D">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MEMBROS DA BANCA</w:t>
      </w:r>
    </w:p>
    <w:p w14:paraId="63DB374D" w14:textId="77777777" w:rsidR="00DB7B2D" w:rsidRDefault="00DB7B2D" w:rsidP="00DB7B2D">
      <w:pPr>
        <w:spacing w:line="360" w:lineRule="auto"/>
        <w:jc w:val="center"/>
        <w:rPr>
          <w:rFonts w:ascii="Times New Roman" w:eastAsia="Times New Roman" w:hAnsi="Times New Roman" w:cs="Times New Roman"/>
          <w:b/>
          <w:bCs/>
          <w:sz w:val="24"/>
          <w:szCs w:val="24"/>
        </w:rPr>
      </w:pPr>
    </w:p>
    <w:p w14:paraId="6D281312" w14:textId="77777777" w:rsidR="001D6EAF" w:rsidRDefault="00000000">
      <w:pPr>
        <w:spacing w:line="360" w:lineRule="auto"/>
        <w:ind w:right="20" w:firstLine="184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___________________________________________</w:t>
      </w:r>
    </w:p>
    <w:p w14:paraId="35709386" w14:textId="77777777" w:rsidR="001D6EAF" w:rsidRDefault="00000000">
      <w:pPr>
        <w:spacing w:line="240" w:lineRule="auto"/>
        <w:ind w:righ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Erika </w:t>
      </w:r>
      <w:proofErr w:type="spellStart"/>
      <w:r>
        <w:rPr>
          <w:rFonts w:ascii="Times New Roman" w:eastAsia="Times New Roman" w:hAnsi="Times New Roman" w:cs="Times New Roman"/>
          <w:sz w:val="24"/>
          <w:szCs w:val="24"/>
        </w:rPr>
        <w:t>Tayer</w:t>
      </w:r>
      <w:proofErr w:type="spellEnd"/>
      <w:r>
        <w:rPr>
          <w:rFonts w:ascii="Times New Roman" w:eastAsia="Times New Roman" w:hAnsi="Times New Roman" w:cs="Times New Roman"/>
          <w:sz w:val="24"/>
          <w:szCs w:val="24"/>
        </w:rPr>
        <w:t xml:space="preserve"> Lasmar </w:t>
      </w:r>
    </w:p>
    <w:p w14:paraId="16AC3422" w14:textId="58FEE2E7" w:rsidR="001D6EAF" w:rsidRDefault="00000000" w:rsidP="00DB7B2D">
      <w:pPr>
        <w:spacing w:line="240" w:lineRule="auto"/>
        <w:ind w:righ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UNILAVRAS</w:t>
      </w:r>
    </w:p>
    <w:p w14:paraId="1AE034B8" w14:textId="77777777" w:rsidR="00DB7B2D" w:rsidRDefault="00DB7B2D" w:rsidP="00DB7B2D">
      <w:pPr>
        <w:spacing w:line="240" w:lineRule="auto"/>
        <w:ind w:right="20"/>
        <w:jc w:val="center"/>
        <w:rPr>
          <w:rFonts w:ascii="Times New Roman" w:eastAsia="Times New Roman" w:hAnsi="Times New Roman" w:cs="Times New Roman"/>
          <w:sz w:val="24"/>
          <w:szCs w:val="24"/>
        </w:rPr>
      </w:pPr>
    </w:p>
    <w:p w14:paraId="6758AB7B" w14:textId="77777777" w:rsidR="001D6EAF" w:rsidRDefault="00000000">
      <w:pPr>
        <w:spacing w:line="360" w:lineRule="auto"/>
        <w:ind w:right="20" w:firstLine="18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___________________________________________</w:t>
      </w:r>
    </w:p>
    <w:p w14:paraId="4FB77130" w14:textId="47F64035" w:rsidR="001D6EAF" w:rsidRDefault="00DB7B2D">
      <w:pPr>
        <w:spacing w:line="240" w:lineRule="auto"/>
        <w:ind w:right="20"/>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Walkiria Oliveira Freitas</w:t>
      </w:r>
    </w:p>
    <w:p w14:paraId="265266FE" w14:textId="455399C6" w:rsidR="00DB7B2D" w:rsidRDefault="00DB7B2D" w:rsidP="00DB7B2D">
      <w:pPr>
        <w:spacing w:line="240" w:lineRule="auto"/>
        <w:ind w:righ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UNILAVRAS</w:t>
      </w:r>
    </w:p>
    <w:p w14:paraId="67AD6090" w14:textId="77777777" w:rsidR="00DB7B2D" w:rsidRDefault="00DB7B2D" w:rsidP="00DB7B2D">
      <w:pPr>
        <w:spacing w:line="240" w:lineRule="auto"/>
        <w:ind w:right="20"/>
        <w:jc w:val="center"/>
        <w:rPr>
          <w:rFonts w:ascii="Times New Roman" w:eastAsia="Times New Roman" w:hAnsi="Times New Roman" w:cs="Times New Roman"/>
          <w:sz w:val="24"/>
          <w:szCs w:val="24"/>
        </w:rPr>
      </w:pPr>
    </w:p>
    <w:p w14:paraId="3FBEED99" w14:textId="77777777" w:rsidR="00DB7B2D" w:rsidRDefault="00DB7B2D" w:rsidP="00DB7B2D">
      <w:pPr>
        <w:spacing w:line="360" w:lineRule="auto"/>
        <w:ind w:right="20" w:firstLine="184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___________________________________________</w:t>
      </w:r>
    </w:p>
    <w:p w14:paraId="58E85B4F" w14:textId="77777777" w:rsidR="00DB7B2D" w:rsidRDefault="00DB7B2D" w:rsidP="00DB7B2D">
      <w:pPr>
        <w:spacing w:line="240" w:lineRule="auto"/>
        <w:ind w:right="2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Marcelle Regina de Assis Sousa</w:t>
      </w:r>
    </w:p>
    <w:p w14:paraId="19A48DA3" w14:textId="29E9E451" w:rsidR="00DB7B2D" w:rsidRDefault="00DB7B2D" w:rsidP="00DB7B2D">
      <w:pPr>
        <w:spacing w:line="240" w:lineRule="auto"/>
        <w:ind w:righ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Pr>
          <w:rFonts w:ascii="Times New Roman" w:eastAsia="Times New Roman" w:hAnsi="Times New Roman" w:cs="Times New Roman"/>
          <w:sz w:val="24"/>
          <w:szCs w:val="24"/>
        </w:rPr>
        <w:t>FLA</w:t>
      </w:r>
    </w:p>
    <w:p w14:paraId="0252DB97" w14:textId="77777777" w:rsidR="00DB7B2D" w:rsidRDefault="00DB7B2D">
      <w:pPr>
        <w:spacing w:line="240" w:lineRule="auto"/>
        <w:ind w:right="20"/>
        <w:jc w:val="center"/>
        <w:rPr>
          <w:rFonts w:ascii="Times New Roman" w:eastAsia="Times New Roman" w:hAnsi="Times New Roman" w:cs="Times New Roman"/>
          <w:sz w:val="24"/>
          <w:szCs w:val="24"/>
        </w:rPr>
      </w:pPr>
    </w:p>
    <w:p w14:paraId="40B81EFB" w14:textId="77777777" w:rsidR="001D6EAF" w:rsidRDefault="001D6EAF">
      <w:pPr>
        <w:spacing w:line="240" w:lineRule="auto"/>
        <w:ind w:right="20"/>
        <w:jc w:val="center"/>
        <w:rPr>
          <w:rFonts w:ascii="Times New Roman" w:eastAsia="Times New Roman" w:hAnsi="Times New Roman" w:cs="Times New Roman"/>
          <w:sz w:val="24"/>
          <w:szCs w:val="24"/>
        </w:rPr>
      </w:pPr>
    </w:p>
    <w:p w14:paraId="72895B5F" w14:textId="77777777" w:rsidR="001D6EAF" w:rsidRDefault="001D6EAF">
      <w:pPr>
        <w:spacing w:line="360" w:lineRule="auto"/>
        <w:ind w:right="20"/>
        <w:rPr>
          <w:rFonts w:ascii="Times New Roman" w:eastAsia="Times New Roman" w:hAnsi="Times New Roman" w:cs="Times New Roman"/>
          <w:b/>
          <w:bCs/>
          <w:sz w:val="24"/>
          <w:szCs w:val="24"/>
        </w:rPr>
      </w:pPr>
    </w:p>
    <w:p w14:paraId="1A8343B3" w14:textId="77777777" w:rsidR="001D6EAF" w:rsidRDefault="001D6EAF">
      <w:pPr>
        <w:spacing w:line="240" w:lineRule="auto"/>
        <w:ind w:right="20"/>
        <w:jc w:val="center"/>
        <w:rPr>
          <w:rFonts w:ascii="Times New Roman" w:eastAsia="Times New Roman" w:hAnsi="Times New Roman" w:cs="Times New Roman"/>
          <w:sz w:val="24"/>
          <w:szCs w:val="24"/>
        </w:rPr>
      </w:pPr>
    </w:p>
    <w:p w14:paraId="38C8EAFE"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0EEBD843" w14:textId="77777777" w:rsidR="001D6EAF" w:rsidRDefault="00000000">
      <w:pPr>
        <w:spacing w:line="360" w:lineRule="auto"/>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LAVRAS-MG</w:t>
      </w:r>
    </w:p>
    <w:p w14:paraId="08D4287B" w14:textId="77777777" w:rsidR="001D6EAF" w:rsidRDefault="00000000">
      <w:pPr>
        <w:spacing w:line="360" w:lineRule="auto"/>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2026</w:t>
      </w:r>
    </w:p>
    <w:p w14:paraId="4E21BB9E"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7F277A6E" w14:textId="77777777" w:rsidR="001D6EAF" w:rsidRDefault="00000000">
      <w:pPr>
        <w:spacing w:line="360" w:lineRule="auto"/>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SUMÁRIO</w:t>
      </w:r>
    </w:p>
    <w:p w14:paraId="2890CC97" w14:textId="77777777" w:rsidR="001D6EAF" w:rsidRDefault="001D6EAF">
      <w:pPr>
        <w:spacing w:line="360" w:lineRule="auto"/>
        <w:ind w:right="20"/>
        <w:jc w:val="center"/>
        <w:rPr>
          <w:rFonts w:ascii="Times New Roman" w:eastAsia="Times New Roman" w:hAnsi="Times New Roman" w:cs="Times New Roman"/>
          <w:b/>
          <w:bCs/>
          <w:sz w:val="24"/>
          <w:szCs w:val="24"/>
        </w:rPr>
      </w:pPr>
    </w:p>
    <w:sdt>
      <w:sdtPr>
        <w:id w:val="250136687"/>
        <w:docPartObj>
          <w:docPartGallery w:val="Table of Contents"/>
          <w:docPartUnique/>
        </w:docPartObj>
      </w:sdtPr>
      <w:sdtContent>
        <w:p w14:paraId="560595CB" w14:textId="77777777" w:rsidR="001D6EAF" w:rsidRDefault="00000000">
          <w:pPr>
            <w:widowControl w:val="0"/>
            <w:tabs>
              <w:tab w:val="right" w:leader="dot" w:pos="12000"/>
            </w:tabs>
            <w:spacing w:before="60" w:line="240" w:lineRule="auto"/>
            <w:rPr>
              <w:b/>
              <w:bCs/>
              <w:color w:val="000000"/>
            </w:rPr>
          </w:pPr>
          <w:r>
            <w:fldChar w:fldCharType="begin"/>
          </w:r>
          <w:r>
            <w:instrText xml:space="preserve"> TOC \h \u \z \t "Heading 1,1,Heading 2,2,Heading 3,3,Heading 4,4,Heading 5,5,Heading 6,6,"</w:instrText>
          </w:r>
          <w:r>
            <w:fldChar w:fldCharType="separate"/>
          </w:r>
          <w:hyperlink w:anchor="_jphsrh19cois">
            <w:r>
              <w:rPr>
                <w:rFonts w:ascii="Times New Roman" w:eastAsia="Times New Roman" w:hAnsi="Times New Roman" w:cs="Times New Roman"/>
                <w:b/>
                <w:bCs/>
                <w:color w:val="000000"/>
                <w:sz w:val="24"/>
                <w:szCs w:val="24"/>
              </w:rPr>
              <w:t>1 INTRODUÇÃO</w:t>
            </w:r>
            <w:r>
              <w:rPr>
                <w:rFonts w:ascii="Times New Roman" w:eastAsia="Times New Roman" w:hAnsi="Times New Roman" w:cs="Times New Roman"/>
                <w:b/>
                <w:bCs/>
                <w:color w:val="000000"/>
                <w:sz w:val="24"/>
                <w:szCs w:val="24"/>
              </w:rPr>
              <w:tab/>
              <w:t>7</w:t>
            </w:r>
          </w:hyperlink>
        </w:p>
        <w:p w14:paraId="2F507DE4" w14:textId="77777777" w:rsidR="001D6EAF" w:rsidRDefault="00000000">
          <w:pPr>
            <w:widowControl w:val="0"/>
            <w:tabs>
              <w:tab w:val="right" w:leader="dot" w:pos="12000"/>
            </w:tabs>
            <w:spacing w:before="60" w:line="240" w:lineRule="auto"/>
            <w:rPr>
              <w:b/>
              <w:bCs/>
              <w:color w:val="000000"/>
            </w:rPr>
          </w:pPr>
          <w:hyperlink w:anchor="_ejcrhoqesxr5">
            <w:r>
              <w:rPr>
                <w:rFonts w:ascii="Times New Roman" w:eastAsia="Times New Roman" w:hAnsi="Times New Roman" w:cs="Times New Roman"/>
                <w:b/>
                <w:bCs/>
                <w:color w:val="000000"/>
                <w:sz w:val="24"/>
                <w:szCs w:val="24"/>
              </w:rPr>
              <w:t>2 A EVOLUÇÃO JURÍDICA DO CRIME DE FEMINICÍDIO NO SISTEMA PENAL BRASILEIRO E AS MUDANÇAS TRAZIDAS COM A NOVA LEI</w:t>
            </w:r>
            <w:r>
              <w:rPr>
                <w:rFonts w:ascii="Times New Roman" w:eastAsia="Times New Roman" w:hAnsi="Times New Roman" w:cs="Times New Roman"/>
                <w:b/>
                <w:bCs/>
                <w:color w:val="000000"/>
                <w:sz w:val="24"/>
                <w:szCs w:val="24"/>
              </w:rPr>
              <w:tab/>
              <w:t>9</w:t>
            </w:r>
          </w:hyperlink>
        </w:p>
        <w:p w14:paraId="3DFA51F2" w14:textId="77777777" w:rsidR="001D6EAF" w:rsidRDefault="00000000">
          <w:pPr>
            <w:widowControl w:val="0"/>
            <w:tabs>
              <w:tab w:val="right" w:leader="dot" w:pos="12000"/>
            </w:tabs>
            <w:spacing w:before="60" w:line="240" w:lineRule="auto"/>
            <w:ind w:left="360"/>
            <w:rPr>
              <w:color w:val="000000"/>
            </w:rPr>
          </w:pPr>
          <w:hyperlink w:anchor="_1xge17pgzg6s">
            <w:r>
              <w:rPr>
                <w:rFonts w:ascii="Times New Roman" w:eastAsia="Times New Roman" w:hAnsi="Times New Roman" w:cs="Times New Roman"/>
                <w:color w:val="000000"/>
                <w:sz w:val="24"/>
                <w:szCs w:val="24"/>
              </w:rPr>
              <w:t>2.1 Da qualificadora ao Tipo Penal Autônomo</w:t>
            </w:r>
            <w:r>
              <w:rPr>
                <w:rFonts w:ascii="Times New Roman" w:eastAsia="Times New Roman" w:hAnsi="Times New Roman" w:cs="Times New Roman"/>
                <w:color w:val="000000"/>
                <w:sz w:val="24"/>
                <w:szCs w:val="24"/>
              </w:rPr>
              <w:tab/>
              <w:t>9</w:t>
            </w:r>
          </w:hyperlink>
        </w:p>
        <w:p w14:paraId="47267AA5" w14:textId="77777777" w:rsidR="001D6EAF" w:rsidRDefault="00000000">
          <w:pPr>
            <w:widowControl w:val="0"/>
            <w:tabs>
              <w:tab w:val="right" w:leader="dot" w:pos="12000"/>
            </w:tabs>
            <w:spacing w:before="60" w:line="240" w:lineRule="auto"/>
            <w:ind w:left="360"/>
            <w:rPr>
              <w:color w:val="000000"/>
            </w:rPr>
          </w:pPr>
          <w:hyperlink w:anchor="_zv7namvmjqo">
            <w:r>
              <w:rPr>
                <w:rFonts w:ascii="Times New Roman" w:eastAsia="Times New Roman" w:hAnsi="Times New Roman" w:cs="Times New Roman"/>
                <w:color w:val="000000"/>
                <w:sz w:val="24"/>
                <w:szCs w:val="24"/>
              </w:rPr>
              <w:t>2.2 Principais mudanças trazidas pela Lei 14.994/2024</w:t>
            </w:r>
            <w:r>
              <w:rPr>
                <w:rFonts w:ascii="Times New Roman" w:eastAsia="Times New Roman" w:hAnsi="Times New Roman" w:cs="Times New Roman"/>
                <w:color w:val="000000"/>
                <w:sz w:val="24"/>
                <w:szCs w:val="24"/>
              </w:rPr>
              <w:tab/>
              <w:t>11</w:t>
            </w:r>
          </w:hyperlink>
        </w:p>
        <w:p w14:paraId="2A3BDB98" w14:textId="77777777" w:rsidR="001D6EAF" w:rsidRDefault="00000000">
          <w:pPr>
            <w:widowControl w:val="0"/>
            <w:tabs>
              <w:tab w:val="right" w:leader="dot" w:pos="12000"/>
            </w:tabs>
            <w:spacing w:before="60" w:line="240" w:lineRule="auto"/>
            <w:rPr>
              <w:b/>
              <w:bCs/>
              <w:color w:val="000000"/>
            </w:rPr>
          </w:pPr>
          <w:hyperlink w:anchor="_mw4tivx5snxg">
            <w:r>
              <w:rPr>
                <w:rFonts w:ascii="Times New Roman" w:eastAsia="Times New Roman" w:hAnsi="Times New Roman" w:cs="Times New Roman"/>
                <w:b/>
                <w:bCs/>
                <w:color w:val="000000"/>
                <w:sz w:val="24"/>
                <w:szCs w:val="24"/>
              </w:rPr>
              <w:t>3 EXPANSÃO PENAL NO ENFRENTAMENTO À VIOLÊNCIA DE GÊNERO</w:t>
            </w:r>
            <w:r>
              <w:rPr>
                <w:rFonts w:ascii="Times New Roman" w:eastAsia="Times New Roman" w:hAnsi="Times New Roman" w:cs="Times New Roman"/>
                <w:b/>
                <w:bCs/>
                <w:color w:val="000000"/>
                <w:sz w:val="24"/>
                <w:szCs w:val="24"/>
              </w:rPr>
              <w:tab/>
              <w:t>12</w:t>
            </w:r>
          </w:hyperlink>
        </w:p>
        <w:p w14:paraId="55640CEA" w14:textId="77777777" w:rsidR="001D6EAF" w:rsidRDefault="00000000">
          <w:pPr>
            <w:widowControl w:val="0"/>
            <w:tabs>
              <w:tab w:val="right" w:leader="dot" w:pos="12000"/>
            </w:tabs>
            <w:spacing w:before="60" w:line="240" w:lineRule="auto"/>
            <w:ind w:left="360"/>
            <w:rPr>
              <w:color w:val="000000"/>
            </w:rPr>
          </w:pPr>
          <w:hyperlink w:anchor="_hobskx9nx01p">
            <w:r>
              <w:rPr>
                <w:rFonts w:ascii="Times New Roman" w:eastAsia="Times New Roman" w:hAnsi="Times New Roman" w:cs="Times New Roman"/>
                <w:color w:val="000000"/>
                <w:sz w:val="24"/>
                <w:szCs w:val="24"/>
              </w:rPr>
              <w:t>3.1 Mudanças legislativas correlatas ao crime de feminicídio</w:t>
            </w:r>
            <w:r>
              <w:rPr>
                <w:rFonts w:ascii="Times New Roman" w:eastAsia="Times New Roman" w:hAnsi="Times New Roman" w:cs="Times New Roman"/>
                <w:color w:val="000000"/>
                <w:sz w:val="24"/>
                <w:szCs w:val="24"/>
              </w:rPr>
              <w:tab/>
              <w:t>12</w:t>
            </w:r>
          </w:hyperlink>
        </w:p>
        <w:p w14:paraId="7A505DC6" w14:textId="77777777" w:rsidR="001D6EAF" w:rsidRDefault="00000000">
          <w:pPr>
            <w:widowControl w:val="0"/>
            <w:tabs>
              <w:tab w:val="right" w:leader="dot" w:pos="12000"/>
            </w:tabs>
            <w:spacing w:before="60" w:line="240" w:lineRule="auto"/>
            <w:rPr>
              <w:b/>
              <w:bCs/>
              <w:color w:val="000000"/>
            </w:rPr>
          </w:pPr>
          <w:hyperlink w:anchor="_ubxaux3gt8oa">
            <w:r>
              <w:rPr>
                <w:rFonts w:ascii="Times New Roman" w:eastAsia="Times New Roman" w:hAnsi="Times New Roman" w:cs="Times New Roman"/>
                <w:b/>
                <w:bCs/>
                <w:color w:val="000000"/>
                <w:sz w:val="24"/>
                <w:szCs w:val="24"/>
              </w:rPr>
              <w:t>4 FEMINICÍDIO COMO CATEGORIA PENAL AUTÔNOMA: EFEITOS PRÁTICOS NO COMBATE À VIOLÊNCIA DE GÊNERO</w:t>
            </w:r>
            <w:r>
              <w:rPr>
                <w:rFonts w:ascii="Times New Roman" w:eastAsia="Times New Roman" w:hAnsi="Times New Roman" w:cs="Times New Roman"/>
                <w:b/>
                <w:bCs/>
                <w:color w:val="000000"/>
                <w:sz w:val="24"/>
                <w:szCs w:val="24"/>
              </w:rPr>
              <w:tab/>
              <w:t>13</w:t>
            </w:r>
          </w:hyperlink>
        </w:p>
        <w:p w14:paraId="782A5CED" w14:textId="77777777" w:rsidR="001D6EAF" w:rsidRDefault="00000000">
          <w:pPr>
            <w:widowControl w:val="0"/>
            <w:tabs>
              <w:tab w:val="right" w:leader="dot" w:pos="12000"/>
            </w:tabs>
            <w:spacing w:before="60" w:line="240" w:lineRule="auto"/>
            <w:ind w:left="360"/>
            <w:rPr>
              <w:color w:val="000000"/>
            </w:rPr>
          </w:pPr>
          <w:hyperlink w:anchor="_4hlwfjxxj3a2">
            <w:r>
              <w:rPr>
                <w:rFonts w:ascii="Times New Roman" w:eastAsia="Times New Roman" w:hAnsi="Times New Roman" w:cs="Times New Roman"/>
                <w:color w:val="000000"/>
                <w:sz w:val="24"/>
                <w:szCs w:val="24"/>
              </w:rPr>
              <w:t>4.1 Análise de dados após a mudança legislativa</w:t>
            </w:r>
            <w:r>
              <w:rPr>
                <w:rFonts w:ascii="Times New Roman" w:eastAsia="Times New Roman" w:hAnsi="Times New Roman" w:cs="Times New Roman"/>
                <w:color w:val="000000"/>
                <w:sz w:val="24"/>
                <w:szCs w:val="24"/>
              </w:rPr>
              <w:tab/>
              <w:t>13</w:t>
            </w:r>
          </w:hyperlink>
        </w:p>
        <w:p w14:paraId="0C3BF4CD" w14:textId="77777777" w:rsidR="001D6EAF" w:rsidRDefault="00000000">
          <w:pPr>
            <w:widowControl w:val="0"/>
            <w:tabs>
              <w:tab w:val="right" w:leader="dot" w:pos="12000"/>
            </w:tabs>
            <w:spacing w:before="60" w:line="240" w:lineRule="auto"/>
            <w:ind w:left="360"/>
            <w:rPr>
              <w:color w:val="000000"/>
            </w:rPr>
          </w:pPr>
          <w:hyperlink w:anchor="_3rmfaldkoick">
            <w:r>
              <w:rPr>
                <w:rFonts w:ascii="Times New Roman" w:eastAsia="Times New Roman" w:hAnsi="Times New Roman" w:cs="Times New Roman"/>
                <w:color w:val="000000"/>
                <w:sz w:val="24"/>
                <w:szCs w:val="24"/>
              </w:rPr>
              <w:t>4.2 Efetividade da norma no combate à violência contra a mulher</w:t>
            </w:r>
            <w:r>
              <w:rPr>
                <w:rFonts w:ascii="Times New Roman" w:eastAsia="Times New Roman" w:hAnsi="Times New Roman" w:cs="Times New Roman"/>
                <w:color w:val="000000"/>
                <w:sz w:val="24"/>
                <w:szCs w:val="24"/>
              </w:rPr>
              <w:tab/>
              <w:t>14</w:t>
            </w:r>
          </w:hyperlink>
        </w:p>
        <w:p w14:paraId="732B03F5" w14:textId="77777777" w:rsidR="001D6EAF" w:rsidRDefault="00000000">
          <w:pPr>
            <w:widowControl w:val="0"/>
            <w:tabs>
              <w:tab w:val="right" w:leader="dot" w:pos="12000"/>
            </w:tabs>
            <w:spacing w:before="60" w:line="240" w:lineRule="auto"/>
            <w:rPr>
              <w:b/>
              <w:bCs/>
              <w:color w:val="000000"/>
            </w:rPr>
          </w:pPr>
          <w:hyperlink w:anchor="_3xqyzbk14prx">
            <w:r>
              <w:rPr>
                <w:rFonts w:ascii="Times New Roman" w:eastAsia="Times New Roman" w:hAnsi="Times New Roman" w:cs="Times New Roman"/>
                <w:b/>
                <w:bCs/>
                <w:color w:val="000000"/>
                <w:sz w:val="24"/>
                <w:szCs w:val="24"/>
              </w:rPr>
              <w:t>5 POLÍTICAS PÚBLICAS COMO INSTRUMENTOS ESTRATÉGICOS E PREVENTIVOS DE ENFRENTAMENTO AO FEMINICÍDIO</w:t>
            </w:r>
            <w:r>
              <w:rPr>
                <w:rFonts w:ascii="Times New Roman" w:eastAsia="Times New Roman" w:hAnsi="Times New Roman" w:cs="Times New Roman"/>
                <w:b/>
                <w:bCs/>
                <w:color w:val="000000"/>
                <w:sz w:val="24"/>
                <w:szCs w:val="24"/>
              </w:rPr>
              <w:tab/>
              <w:t>15</w:t>
            </w:r>
          </w:hyperlink>
        </w:p>
        <w:p w14:paraId="5443C3A4" w14:textId="77777777" w:rsidR="001D6EAF" w:rsidRDefault="00000000">
          <w:pPr>
            <w:widowControl w:val="0"/>
            <w:tabs>
              <w:tab w:val="right" w:leader="dot" w:pos="12000"/>
            </w:tabs>
            <w:spacing w:before="60" w:line="240" w:lineRule="auto"/>
            <w:ind w:left="360"/>
            <w:rPr>
              <w:color w:val="000000"/>
            </w:rPr>
          </w:pPr>
          <w:hyperlink w:anchor="_q38926ibehs1">
            <w:r>
              <w:rPr>
                <w:rFonts w:ascii="Times New Roman" w:eastAsia="Times New Roman" w:hAnsi="Times New Roman" w:cs="Times New Roman"/>
                <w:color w:val="000000"/>
                <w:sz w:val="24"/>
                <w:szCs w:val="24"/>
              </w:rPr>
              <w:t>5.1 Das medidas</w:t>
            </w:r>
            <w:r>
              <w:rPr>
                <w:rFonts w:ascii="Times New Roman" w:eastAsia="Times New Roman" w:hAnsi="Times New Roman" w:cs="Times New Roman"/>
                <w:color w:val="000000"/>
                <w:sz w:val="24"/>
                <w:szCs w:val="24"/>
              </w:rPr>
              <w:tab/>
              <w:t>16</w:t>
            </w:r>
          </w:hyperlink>
        </w:p>
        <w:p w14:paraId="46B54B4F" w14:textId="77777777" w:rsidR="001D6EAF" w:rsidRDefault="00000000">
          <w:pPr>
            <w:widowControl w:val="0"/>
            <w:tabs>
              <w:tab w:val="right" w:leader="dot" w:pos="12000"/>
            </w:tabs>
            <w:spacing w:before="60" w:line="240" w:lineRule="auto"/>
            <w:rPr>
              <w:b/>
              <w:bCs/>
              <w:color w:val="000000"/>
            </w:rPr>
          </w:pPr>
          <w:hyperlink w:anchor="_ds9hpah15jri">
            <w:r>
              <w:rPr>
                <w:rFonts w:ascii="Times New Roman" w:eastAsia="Times New Roman" w:hAnsi="Times New Roman" w:cs="Times New Roman"/>
                <w:b/>
                <w:bCs/>
                <w:color w:val="000000"/>
                <w:sz w:val="24"/>
                <w:szCs w:val="24"/>
              </w:rPr>
              <w:t>6  CONSIDERAÇÕES FINAIS</w:t>
            </w:r>
            <w:r>
              <w:rPr>
                <w:rFonts w:ascii="Times New Roman" w:eastAsia="Times New Roman" w:hAnsi="Times New Roman" w:cs="Times New Roman"/>
                <w:b/>
                <w:bCs/>
                <w:color w:val="000000"/>
                <w:sz w:val="24"/>
                <w:szCs w:val="24"/>
              </w:rPr>
              <w:tab/>
              <w:t>17</w:t>
            </w:r>
          </w:hyperlink>
        </w:p>
        <w:p w14:paraId="341702A5" w14:textId="77777777" w:rsidR="001D6EAF" w:rsidRDefault="00000000">
          <w:pPr>
            <w:widowControl w:val="0"/>
            <w:tabs>
              <w:tab w:val="right" w:leader="dot" w:pos="12000"/>
            </w:tabs>
            <w:spacing w:before="60" w:line="240" w:lineRule="auto"/>
            <w:rPr>
              <w:b/>
              <w:bCs/>
              <w:color w:val="000000"/>
            </w:rPr>
          </w:pPr>
          <w:hyperlink w:anchor="_3r8ylbuibswf">
            <w:r>
              <w:rPr>
                <w:b/>
                <w:bCs/>
                <w:color w:val="000000"/>
              </w:rPr>
              <w:tab/>
              <w:t>20</w:t>
            </w:r>
          </w:hyperlink>
          <w:r>
            <w:fldChar w:fldCharType="end"/>
          </w:r>
        </w:p>
      </w:sdtContent>
    </w:sdt>
    <w:p w14:paraId="71CD51D3"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6CC8FC58"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75859CFF"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21E4EB88"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662C94D9"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57573DDE"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48ED6336"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5603E83B"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6EF10290"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2EFC3411"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1C663D6E"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194F62DB"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15902063" w14:textId="77777777" w:rsidR="001D6EAF" w:rsidRDefault="001D6EAF">
      <w:pPr>
        <w:spacing w:line="360" w:lineRule="auto"/>
        <w:ind w:right="20"/>
        <w:jc w:val="center"/>
        <w:rPr>
          <w:rFonts w:ascii="Times New Roman" w:eastAsia="Times New Roman" w:hAnsi="Times New Roman" w:cs="Times New Roman"/>
          <w:b/>
          <w:bCs/>
          <w:sz w:val="24"/>
          <w:szCs w:val="24"/>
        </w:rPr>
        <w:sectPr w:rsidR="001D6EAF">
          <w:headerReference w:type="default" r:id="rId7"/>
          <w:pgSz w:w="11906" w:h="16838"/>
          <w:pgMar w:top="1700" w:right="1133" w:bottom="1133" w:left="1700" w:header="720" w:footer="720" w:gutter="0"/>
          <w:pgNumType w:start="1"/>
          <w:cols w:space="720"/>
        </w:sectPr>
      </w:pPr>
    </w:p>
    <w:p w14:paraId="55372B9D" w14:textId="77777777" w:rsidR="001D6EAF" w:rsidRDefault="001D6EAF">
      <w:pPr>
        <w:spacing w:line="360" w:lineRule="auto"/>
        <w:ind w:right="20"/>
        <w:jc w:val="center"/>
        <w:rPr>
          <w:rFonts w:ascii="Times New Roman" w:eastAsia="Times New Roman" w:hAnsi="Times New Roman" w:cs="Times New Roman"/>
          <w:b/>
          <w:bCs/>
          <w:sz w:val="24"/>
          <w:szCs w:val="24"/>
        </w:rPr>
      </w:pPr>
    </w:p>
    <w:p w14:paraId="409101F9" w14:textId="77777777" w:rsidR="001D6EAF" w:rsidRDefault="00000000">
      <w:pPr>
        <w:spacing w:line="360" w:lineRule="auto"/>
        <w:ind w:right="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AUTONOMIZAÇÃO DO CRIME DE FEMINICÍDIO NO ORDENAMENTO PENAL BRASILEIRO: ANÁLISE CRÍTICA DA LEI Nº 14.994/2024 E SEUS IMPACTOS NO ENFRENTAMENTO À VIOLÊNCIA DE GÊNERO</w:t>
      </w:r>
    </w:p>
    <w:p w14:paraId="1605826E" w14:textId="77777777" w:rsidR="001D6EAF" w:rsidRDefault="001D6EAF">
      <w:pPr>
        <w:spacing w:line="360" w:lineRule="auto"/>
        <w:ind w:right="20"/>
        <w:jc w:val="both"/>
        <w:rPr>
          <w:rFonts w:ascii="Times New Roman" w:eastAsia="Times New Roman" w:hAnsi="Times New Roman" w:cs="Times New Roman"/>
          <w:b/>
          <w:bCs/>
          <w:sz w:val="24"/>
          <w:szCs w:val="24"/>
        </w:rPr>
      </w:pPr>
    </w:p>
    <w:p w14:paraId="6C6968AF" w14:textId="77777777" w:rsidR="001D6EAF" w:rsidRDefault="001D6EAF">
      <w:pPr>
        <w:spacing w:line="360" w:lineRule="auto"/>
        <w:ind w:right="20"/>
        <w:jc w:val="both"/>
        <w:rPr>
          <w:rFonts w:ascii="Times New Roman" w:eastAsia="Times New Roman" w:hAnsi="Times New Roman" w:cs="Times New Roman"/>
          <w:b/>
          <w:bCs/>
          <w:sz w:val="24"/>
          <w:szCs w:val="24"/>
        </w:rPr>
      </w:pPr>
    </w:p>
    <w:p w14:paraId="22E200A8" w14:textId="77777777" w:rsidR="001D6EAF" w:rsidRDefault="00000000">
      <w:pPr>
        <w:spacing w:line="240" w:lineRule="auto"/>
        <w:ind w:right="20" w:firstLine="680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*Júlia Mara Silva¹</w:t>
      </w:r>
    </w:p>
    <w:p w14:paraId="533FE2E7" w14:textId="77777777" w:rsidR="001D6EAF" w:rsidRDefault="00000000">
      <w:pPr>
        <w:spacing w:line="240" w:lineRule="auto"/>
        <w:ind w:firstLine="6803"/>
        <w:rPr>
          <w:rFonts w:ascii="Times New Roman" w:eastAsia="Times New Roman" w:hAnsi="Times New Roman" w:cs="Times New Roman"/>
          <w:sz w:val="20"/>
          <w:szCs w:val="20"/>
        </w:rPr>
      </w:pPr>
      <w:r>
        <w:rPr>
          <w:rFonts w:ascii="Times New Roman" w:eastAsia="Times New Roman" w:hAnsi="Times New Roman" w:cs="Times New Roman"/>
          <w:sz w:val="20"/>
          <w:szCs w:val="20"/>
        </w:rPr>
        <w:t>jmsjuliamara@gmail.com</w:t>
      </w:r>
    </w:p>
    <w:p w14:paraId="54F0A8C2" w14:textId="77777777" w:rsidR="001D6EAF" w:rsidRDefault="001D6EAF">
      <w:pPr>
        <w:spacing w:line="360" w:lineRule="auto"/>
        <w:ind w:right="20"/>
        <w:jc w:val="both"/>
        <w:rPr>
          <w:rFonts w:ascii="Times New Roman" w:eastAsia="Times New Roman" w:hAnsi="Times New Roman" w:cs="Times New Roman"/>
          <w:sz w:val="24"/>
          <w:szCs w:val="24"/>
        </w:rPr>
      </w:pPr>
    </w:p>
    <w:p w14:paraId="2F870972" w14:textId="77777777" w:rsidR="001D6EAF" w:rsidRDefault="001D6EAF">
      <w:pPr>
        <w:spacing w:line="360" w:lineRule="auto"/>
        <w:ind w:right="20"/>
        <w:jc w:val="both"/>
        <w:rPr>
          <w:rFonts w:ascii="Times New Roman" w:eastAsia="Times New Roman" w:hAnsi="Times New Roman" w:cs="Times New Roman"/>
          <w:sz w:val="24"/>
          <w:szCs w:val="24"/>
        </w:rPr>
      </w:pPr>
    </w:p>
    <w:p w14:paraId="6A8234A0" w14:textId="77777777" w:rsidR="001D6EAF" w:rsidRDefault="00000000">
      <w:pPr>
        <w:spacing w:line="36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RESUMO</w:t>
      </w:r>
    </w:p>
    <w:p w14:paraId="2029D2A4" w14:textId="77777777" w:rsidR="001D6EAF" w:rsidRDefault="00000000">
      <w:pPr>
        <w:spacing w:line="24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artigo analisa a autonomização do crime de feminicídio no ordenamento penal brasileiro, promovida pela Lei nº 14.994/2024, buscando verificar sua efetividade no enfrentamento da violência de gênero. Parte-se do problema de pesquisa que questiona se a criação do tipo penal autônomo contribui, de fato, para a redução da violência contra a mulher ou se trata de uma medida meramente simbólica. O objetivo geral consiste em compreender os impactos jurídicos e sociais dessa inovação legislativa, examinando seus fundamentos e seus efeitos concretos. A metodologia adotada é de natureza qualitativa, com abordagem exploratória e descritiva, baseada em pesquisa bibliográfica e documental, por meio da análise de leis, doutrinas e dados sociais, utilizando a técnica de análise legislativa contextual. Os resultados indicam que, embora a autonomização do feminicídio represente um avanço ao conferir maior visibilidade jurídica e reforçar a gravidade da conduta, seus efeitos práticos se mostram limitados diante da persistência de elevados índices de violência. Conclui-se que o endurecimento penal, isoladamente, é insuficiente para enfrentar o problema, sendo imprescindível a implementação de políticas públicas estruturais e medidas preventivas para a efetiva proteção das mulheres.</w:t>
      </w:r>
    </w:p>
    <w:p w14:paraId="7F82A25C" w14:textId="77777777" w:rsidR="001D6EAF" w:rsidRDefault="001D6EAF">
      <w:pPr>
        <w:spacing w:line="360" w:lineRule="auto"/>
        <w:ind w:right="20"/>
        <w:jc w:val="both"/>
        <w:rPr>
          <w:rFonts w:ascii="Times New Roman" w:eastAsia="Times New Roman" w:hAnsi="Times New Roman" w:cs="Times New Roman"/>
          <w:b/>
          <w:bCs/>
          <w:sz w:val="24"/>
          <w:szCs w:val="24"/>
        </w:rPr>
      </w:pPr>
    </w:p>
    <w:p w14:paraId="519B99E2" w14:textId="77777777" w:rsidR="001D6EAF" w:rsidRDefault="00000000">
      <w:pPr>
        <w:spacing w:line="36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Palavras- chave: </w:t>
      </w:r>
      <w:r>
        <w:rPr>
          <w:rFonts w:ascii="Times New Roman" w:eastAsia="Times New Roman" w:hAnsi="Times New Roman" w:cs="Times New Roman"/>
          <w:sz w:val="24"/>
          <w:szCs w:val="24"/>
        </w:rPr>
        <w:t>Direito Penal. Feminicídio. Violência de Gênero.</w:t>
      </w:r>
    </w:p>
    <w:p w14:paraId="596B53AF" w14:textId="77777777" w:rsidR="001D6EAF" w:rsidRDefault="001D6EAF">
      <w:pPr>
        <w:spacing w:line="360" w:lineRule="auto"/>
        <w:ind w:right="20"/>
        <w:jc w:val="both"/>
        <w:rPr>
          <w:rFonts w:ascii="Times New Roman" w:eastAsia="Times New Roman" w:hAnsi="Times New Roman" w:cs="Times New Roman"/>
          <w:sz w:val="24"/>
          <w:szCs w:val="24"/>
        </w:rPr>
      </w:pPr>
    </w:p>
    <w:p w14:paraId="05763F96" w14:textId="77777777" w:rsidR="001D6EAF" w:rsidRDefault="001D6EAF">
      <w:pPr>
        <w:spacing w:line="360" w:lineRule="auto"/>
        <w:ind w:right="20"/>
        <w:jc w:val="both"/>
        <w:rPr>
          <w:rFonts w:ascii="Times New Roman" w:eastAsia="Times New Roman" w:hAnsi="Times New Roman" w:cs="Times New Roman"/>
          <w:sz w:val="24"/>
          <w:szCs w:val="24"/>
        </w:rPr>
      </w:pPr>
    </w:p>
    <w:p w14:paraId="24721D42" w14:textId="77777777" w:rsidR="001D6EAF" w:rsidRDefault="00000000">
      <w:pPr>
        <w:spacing w:line="360" w:lineRule="auto"/>
        <w:ind w:right="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ABSTRACT</w:t>
      </w:r>
    </w:p>
    <w:p w14:paraId="48D9368E" w14:textId="77777777" w:rsidR="001D6EAF" w:rsidRDefault="00000000">
      <w:pPr>
        <w:spacing w:line="240" w:lineRule="auto"/>
        <w:ind w:right="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article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analyzes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establishment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femicide</w:t>
      </w:r>
      <w:proofErr w:type="spellEnd"/>
      <w:r>
        <w:rPr>
          <w:rFonts w:ascii="Times New Roman" w:eastAsia="Times New Roman" w:hAnsi="Times New Roman" w:cs="Times New Roman"/>
          <w:sz w:val="24"/>
          <w:szCs w:val="24"/>
        </w:rPr>
        <w:t xml:space="preserve"> as a </w:t>
      </w:r>
      <w:proofErr w:type="spellStart"/>
      <w:r>
        <w:rPr>
          <w:rFonts w:ascii="Times New Roman" w:eastAsia="Times New Roman" w:hAnsi="Times New Roman" w:cs="Times New Roman"/>
          <w:sz w:val="24"/>
          <w:szCs w:val="24"/>
        </w:rPr>
        <w:t>distinct</w:t>
      </w:r>
      <w:proofErr w:type="spellEnd"/>
      <w:r>
        <w:rPr>
          <w:rFonts w:ascii="Times New Roman" w:eastAsia="Times New Roman" w:hAnsi="Times New Roman" w:cs="Times New Roman"/>
          <w:sz w:val="24"/>
          <w:szCs w:val="24"/>
        </w:rPr>
        <w:t xml:space="preserve"> criminal </w:t>
      </w:r>
      <w:proofErr w:type="spellStart"/>
      <w:r>
        <w:rPr>
          <w:rFonts w:ascii="Times New Roman" w:eastAsia="Times New Roman" w:hAnsi="Times New Roman" w:cs="Times New Roman"/>
          <w:sz w:val="24"/>
          <w:szCs w:val="24"/>
        </w:rPr>
        <w:t>offense</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Brazilian</w:t>
      </w:r>
      <w:proofErr w:type="spellEnd"/>
      <w:r>
        <w:rPr>
          <w:rFonts w:ascii="Times New Roman" w:eastAsia="Times New Roman" w:hAnsi="Times New Roman" w:cs="Times New Roman"/>
          <w:sz w:val="24"/>
          <w:szCs w:val="24"/>
        </w:rPr>
        <w:t xml:space="preserve"> criminal </w:t>
      </w:r>
      <w:proofErr w:type="spellStart"/>
      <w:r>
        <w:rPr>
          <w:rFonts w:ascii="Times New Roman" w:eastAsia="Times New Roman" w:hAnsi="Times New Roman" w:cs="Times New Roman"/>
          <w:sz w:val="24"/>
          <w:szCs w:val="24"/>
        </w:rPr>
        <w:t>law</w:t>
      </w:r>
      <w:proofErr w:type="spellEnd"/>
      <w:r>
        <w:rPr>
          <w:rFonts w:ascii="Times New Roman" w:eastAsia="Times New Roman" w:hAnsi="Times New Roman" w:cs="Times New Roman"/>
          <w:sz w:val="24"/>
          <w:szCs w:val="24"/>
        </w:rPr>
        <w:t xml:space="preserve"> system, as </w:t>
      </w:r>
      <w:proofErr w:type="spellStart"/>
      <w:r>
        <w:rPr>
          <w:rFonts w:ascii="Times New Roman" w:eastAsia="Times New Roman" w:hAnsi="Times New Roman" w:cs="Times New Roman"/>
          <w:sz w:val="24"/>
          <w:szCs w:val="24"/>
        </w:rPr>
        <w:t>enacted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Law No. 14,994/2024,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assessing</w:t>
      </w:r>
      <w:proofErr w:type="spellEnd"/>
      <w:r>
        <w:rPr>
          <w:rFonts w:ascii="Times New Roman" w:eastAsia="Times New Roman" w:hAnsi="Times New Roman" w:cs="Times New Roman"/>
          <w:sz w:val="24"/>
          <w:szCs w:val="24"/>
        </w:rPr>
        <w:t xml:space="preserve"> its </w:t>
      </w:r>
      <w:proofErr w:type="spellStart"/>
      <w:r>
        <w:rPr>
          <w:rFonts w:ascii="Times New Roman" w:eastAsia="Times New Roman" w:hAnsi="Times New Roman" w:cs="Times New Roman"/>
          <w:sz w:val="24"/>
          <w:szCs w:val="24"/>
        </w:rPr>
        <w:t>effectiveness</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combating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gender-based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violence</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begins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question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whether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creation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distinct</w:t>
      </w:r>
      <w:proofErr w:type="spellEnd"/>
      <w:r>
        <w:rPr>
          <w:rFonts w:ascii="Times New Roman" w:eastAsia="Times New Roman" w:hAnsi="Times New Roman" w:cs="Times New Roman"/>
          <w:sz w:val="24"/>
          <w:szCs w:val="24"/>
        </w:rPr>
        <w:t xml:space="preserve"> criminal </w:t>
      </w:r>
      <w:proofErr w:type="spellStart"/>
      <w:r>
        <w:rPr>
          <w:rFonts w:ascii="Times New Roman" w:eastAsia="Times New Roman" w:hAnsi="Times New Roman" w:cs="Times New Roman"/>
          <w:sz w:val="24"/>
          <w:szCs w:val="24"/>
        </w:rPr>
        <w:t>offense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actually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contributes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reducing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violence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against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whether</w:t>
      </w:r>
      <w:proofErr w:type="spellEnd"/>
      <w:r>
        <w:rPr>
          <w:rFonts w:ascii="Times New Roman" w:eastAsia="Times New Roman" w:hAnsi="Times New Roman" w:cs="Times New Roman"/>
          <w:sz w:val="24"/>
          <w:szCs w:val="24"/>
        </w:rPr>
        <w:t xml:space="preserve"> it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merely</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symbolic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measure</w:t>
      </w:r>
      <w:proofErr w:type="spellEnd"/>
      <w:r>
        <w:rPr>
          <w:rFonts w:ascii="Times New Roman" w:eastAsia="Times New Roman" w:hAnsi="Times New Roman" w:cs="Times New Roman"/>
          <w:sz w:val="24"/>
          <w:szCs w:val="24"/>
        </w:rPr>
        <w:t xml:space="preserve">. The overall </w:t>
      </w:r>
      <w:proofErr w:type="spellStart"/>
      <w:r>
        <w:rPr>
          <w:rFonts w:ascii="Times New Roman" w:eastAsia="Times New Roman" w:hAnsi="Times New Roman" w:cs="Times New Roman"/>
          <w:sz w:val="24"/>
          <w:szCs w:val="24"/>
        </w:rPr>
        <w:t>objective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understand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legal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social </w:t>
      </w:r>
      <w:proofErr w:type="spellStart"/>
      <w:r>
        <w:rPr>
          <w:rFonts w:ascii="Times New Roman" w:eastAsia="Times New Roman" w:hAnsi="Times New Roman" w:cs="Times New Roman"/>
          <w:sz w:val="24"/>
          <w:szCs w:val="24"/>
        </w:rPr>
        <w:t>impacts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legislative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innovation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examining</w:t>
      </w:r>
      <w:proofErr w:type="spellEnd"/>
      <w:r>
        <w:rPr>
          <w:rFonts w:ascii="Times New Roman" w:eastAsia="Times New Roman" w:hAnsi="Times New Roman" w:cs="Times New Roman"/>
          <w:sz w:val="24"/>
          <w:szCs w:val="24"/>
        </w:rPr>
        <w:t xml:space="preserve"> its </w:t>
      </w:r>
      <w:proofErr w:type="spellStart"/>
      <w:r>
        <w:rPr>
          <w:rFonts w:ascii="Times New Roman" w:eastAsia="Times New Roman" w:hAnsi="Times New Roman" w:cs="Times New Roman"/>
          <w:sz w:val="24"/>
          <w:szCs w:val="24"/>
        </w:rPr>
        <w:t>foundations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concrete </w:t>
      </w:r>
      <w:proofErr w:type="spellStart"/>
      <w:r>
        <w:rPr>
          <w:rFonts w:ascii="Times New Roman" w:eastAsia="Times New Roman" w:hAnsi="Times New Roman" w:cs="Times New Roman"/>
          <w:sz w:val="24"/>
          <w:szCs w:val="24"/>
        </w:rPr>
        <w:t>effects</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methodology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adopted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qualitative</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nature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employing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exploratory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descriptive</w:t>
      </w:r>
      <w:proofErr w:type="spellEnd"/>
      <w:r>
        <w:rPr>
          <w:rFonts w:ascii="Times New Roman" w:eastAsia="Times New Roman" w:hAnsi="Times New Roman" w:cs="Times New Roman"/>
          <w:sz w:val="24"/>
          <w:szCs w:val="24"/>
        </w:rPr>
        <w:t xml:space="preserve"> approach </w:t>
      </w:r>
      <w:proofErr w:type="spellStart"/>
      <w:r>
        <w:rPr>
          <w:rFonts w:ascii="Times New Roman" w:eastAsia="Times New Roman" w:hAnsi="Times New Roman" w:cs="Times New Roman"/>
          <w:sz w:val="24"/>
          <w:szCs w:val="24"/>
        </w:rPr>
        <w:t>based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bibliographic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documentary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through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laws</w:t>
      </w:r>
      <w:proofErr w:type="spellEnd"/>
      <w:r>
        <w:rPr>
          <w:rFonts w:ascii="Times New Roman" w:eastAsia="Times New Roman" w:hAnsi="Times New Roman" w:cs="Times New Roman"/>
          <w:sz w:val="24"/>
          <w:szCs w:val="24"/>
        </w:rPr>
        <w:t xml:space="preserve">, legal </w:t>
      </w:r>
      <w:proofErr w:type="spellStart"/>
      <w:r>
        <w:rPr>
          <w:rFonts w:ascii="Times New Roman" w:eastAsia="Times New Roman" w:hAnsi="Times New Roman" w:cs="Times New Roman"/>
          <w:sz w:val="24"/>
          <w:szCs w:val="24"/>
        </w:rPr>
        <w:t>doctrine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social data, </w:t>
      </w:r>
      <w:proofErr w:type="spellStart"/>
      <w:r>
        <w:rPr>
          <w:rFonts w:ascii="Times New Roman" w:eastAsia="Times New Roman" w:hAnsi="Times New Roman" w:cs="Times New Roman"/>
          <w:sz w:val="24"/>
          <w:szCs w:val="24"/>
        </w:rPr>
        <w:t>using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technique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contextual </w:t>
      </w:r>
      <w:proofErr w:type="spellStart"/>
      <w:r>
        <w:rPr>
          <w:rFonts w:ascii="Times New Roman" w:eastAsia="Times New Roman" w:hAnsi="Times New Roman" w:cs="Times New Roman"/>
          <w:sz w:val="24"/>
          <w:szCs w:val="24"/>
        </w:rPr>
        <w:t>legislative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results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indicate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although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establishment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femicide</w:t>
      </w:r>
      <w:proofErr w:type="spellEnd"/>
      <w:r>
        <w:rPr>
          <w:rFonts w:ascii="Times New Roman" w:eastAsia="Times New Roman" w:hAnsi="Times New Roman" w:cs="Times New Roman"/>
          <w:sz w:val="24"/>
          <w:szCs w:val="24"/>
        </w:rPr>
        <w:t xml:space="preserve"> as a </w:t>
      </w:r>
      <w:proofErr w:type="spellStart"/>
      <w:r>
        <w:rPr>
          <w:rFonts w:ascii="Times New Roman" w:eastAsia="Times New Roman" w:hAnsi="Times New Roman" w:cs="Times New Roman"/>
          <w:sz w:val="24"/>
          <w:szCs w:val="24"/>
        </w:rPr>
        <w:t>distinct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offense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represents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progress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conferring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greater</w:t>
      </w:r>
      <w:proofErr w:type="spellEnd"/>
      <w:r>
        <w:rPr>
          <w:rFonts w:ascii="Times New Roman" w:eastAsia="Times New Roman" w:hAnsi="Times New Roman" w:cs="Times New Roman"/>
          <w:sz w:val="24"/>
          <w:szCs w:val="24"/>
        </w:rPr>
        <w:t xml:space="preserve"> legal </w:t>
      </w:r>
      <w:proofErr w:type="spellStart"/>
      <w:r>
        <w:rPr>
          <w:rFonts w:ascii="Times New Roman" w:eastAsia="Times New Roman" w:hAnsi="Times New Roman" w:cs="Times New Roman"/>
          <w:sz w:val="24"/>
          <w:szCs w:val="24"/>
        </w:rPr>
        <w:t>visibility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reinforcing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gravity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conduct</w:t>
      </w:r>
      <w:proofErr w:type="spellEnd"/>
      <w:r>
        <w:rPr>
          <w:rFonts w:ascii="Times New Roman" w:eastAsia="Times New Roman" w:hAnsi="Times New Roman" w:cs="Times New Roman"/>
          <w:sz w:val="24"/>
          <w:szCs w:val="24"/>
        </w:rPr>
        <w:t xml:space="preserve">, its </w:t>
      </w:r>
      <w:proofErr w:type="spellStart"/>
      <w:r>
        <w:rPr>
          <w:rFonts w:ascii="Times New Roman" w:eastAsia="Times New Roman" w:hAnsi="Times New Roman" w:cs="Times New Roman"/>
          <w:sz w:val="24"/>
          <w:szCs w:val="24"/>
        </w:rPr>
        <w:t>practical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effects</w:t>
      </w:r>
      <w:proofErr w:type="spellEnd"/>
      <w:r>
        <w:rPr>
          <w:rFonts w:ascii="Times New Roman" w:eastAsia="Times New Roman" w:hAnsi="Times New Roman" w:cs="Times New Roman"/>
          <w:sz w:val="24"/>
          <w:szCs w:val="24"/>
        </w:rPr>
        <w:t xml:space="preserve"> are </w:t>
      </w:r>
      <w:proofErr w:type="spellStart"/>
      <w:r>
        <w:rPr>
          <w:rFonts w:ascii="Times New Roman" w:eastAsia="Times New Roman" w:hAnsi="Times New Roman" w:cs="Times New Roman"/>
          <w:sz w:val="24"/>
          <w:szCs w:val="24"/>
        </w:rPr>
        <w:t>limited</w:t>
      </w:r>
      <w:proofErr w:type="spellEnd"/>
      <w:r>
        <w:rPr>
          <w:rFonts w:ascii="Times New Roman" w:eastAsia="Times New Roman" w:hAnsi="Times New Roman" w:cs="Times New Roman"/>
          <w:sz w:val="24"/>
          <w:szCs w:val="24"/>
        </w:rPr>
        <w:t xml:space="preserve"> in light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persistence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high rates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violence</w:t>
      </w:r>
      <w:proofErr w:type="spellEnd"/>
      <w:r>
        <w:rPr>
          <w:rFonts w:ascii="Times New Roman" w:eastAsia="Times New Roman" w:hAnsi="Times New Roman" w:cs="Times New Roman"/>
          <w:sz w:val="24"/>
          <w:szCs w:val="24"/>
        </w:rPr>
        <w:t xml:space="preserve">. It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concluded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harsher</w:t>
      </w:r>
      <w:proofErr w:type="spellEnd"/>
      <w:r>
        <w:rPr>
          <w:rFonts w:ascii="Times New Roman" w:eastAsia="Times New Roman" w:hAnsi="Times New Roman" w:cs="Times New Roman"/>
          <w:sz w:val="24"/>
          <w:szCs w:val="24"/>
        </w:rPr>
        <w:t xml:space="preserve"> criminal </w:t>
      </w:r>
      <w:proofErr w:type="spellStart"/>
      <w:r>
        <w:rPr>
          <w:rFonts w:ascii="Times New Roman" w:eastAsia="Times New Roman" w:hAnsi="Times New Roman" w:cs="Times New Roman"/>
          <w:sz w:val="24"/>
          <w:szCs w:val="24"/>
        </w:rPr>
        <w:t>penalties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own</w:t>
      </w:r>
      <w:proofErr w:type="spellEnd"/>
      <w:r>
        <w:rPr>
          <w:rFonts w:ascii="Times New Roman" w:eastAsia="Times New Roman" w:hAnsi="Times New Roman" w:cs="Times New Roman"/>
          <w:sz w:val="24"/>
          <w:szCs w:val="24"/>
        </w:rPr>
        <w:t xml:space="preserve">, are </w:t>
      </w:r>
      <w:proofErr w:type="spellStart"/>
      <w:r>
        <w:rPr>
          <w:rFonts w:ascii="Times New Roman" w:eastAsia="Times New Roman" w:hAnsi="Times New Roman" w:cs="Times New Roman"/>
          <w:sz w:val="24"/>
          <w:szCs w:val="24"/>
        </w:rPr>
        <w:t>insufficient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address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problem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implementation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structural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policies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preventive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measures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essential</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effective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protection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women</w:t>
      </w:r>
      <w:proofErr w:type="spellEnd"/>
      <w:r>
        <w:rPr>
          <w:rFonts w:ascii="Times New Roman" w:eastAsia="Times New Roman" w:hAnsi="Times New Roman" w:cs="Times New Roman"/>
          <w:sz w:val="24"/>
          <w:szCs w:val="24"/>
        </w:rPr>
        <w:t>.</w:t>
      </w:r>
    </w:p>
    <w:p w14:paraId="500ECDA9" w14:textId="77777777" w:rsidR="001D6EAF" w:rsidRDefault="001D6EAF">
      <w:pPr>
        <w:spacing w:line="360" w:lineRule="auto"/>
        <w:ind w:right="20"/>
        <w:jc w:val="both"/>
        <w:rPr>
          <w:rFonts w:ascii="Times New Roman" w:eastAsia="Times New Roman" w:hAnsi="Times New Roman" w:cs="Times New Roman"/>
          <w:b/>
          <w:bCs/>
          <w:sz w:val="24"/>
          <w:szCs w:val="24"/>
        </w:rPr>
      </w:pPr>
    </w:p>
    <w:p w14:paraId="62F4B1B2" w14:textId="77777777" w:rsidR="001D6EAF" w:rsidRDefault="00000000">
      <w:pPr>
        <w:spacing w:line="36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Keywords: </w:t>
      </w:r>
      <w:r>
        <w:rPr>
          <w:rFonts w:ascii="Times New Roman" w:eastAsia="Times New Roman" w:hAnsi="Times New Roman" w:cs="Times New Roman"/>
          <w:sz w:val="24"/>
          <w:szCs w:val="24"/>
        </w:rPr>
        <w:t xml:space="preserve">Criminal Law. </w:t>
      </w:r>
      <w:proofErr w:type="spellStart"/>
      <w:r>
        <w:rPr>
          <w:rFonts w:ascii="Times New Roman" w:eastAsia="Times New Roman" w:hAnsi="Times New Roman" w:cs="Times New Roman"/>
          <w:sz w:val="24"/>
          <w:szCs w:val="24"/>
        </w:rPr>
        <w:t>Femicide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Gender-Based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Violence</w:t>
      </w:r>
      <w:proofErr w:type="spellEnd"/>
      <w:r>
        <w:rPr>
          <w:rFonts w:ascii="Times New Roman" w:eastAsia="Times New Roman" w:hAnsi="Times New Roman" w:cs="Times New Roman"/>
          <w:sz w:val="24"/>
          <w:szCs w:val="24"/>
        </w:rPr>
        <w:t>.</w:t>
      </w:r>
    </w:p>
    <w:p w14:paraId="6051E9AE" w14:textId="77777777" w:rsidR="001D6EAF" w:rsidRDefault="001D6EAF">
      <w:pPr>
        <w:spacing w:line="360" w:lineRule="auto"/>
        <w:ind w:right="20"/>
        <w:jc w:val="both"/>
        <w:rPr>
          <w:rFonts w:ascii="Times New Roman" w:eastAsia="Times New Roman" w:hAnsi="Times New Roman" w:cs="Times New Roman"/>
          <w:sz w:val="24"/>
          <w:szCs w:val="24"/>
        </w:rPr>
      </w:pPr>
    </w:p>
    <w:p w14:paraId="417EA741" w14:textId="77777777" w:rsidR="001D6EAF" w:rsidRDefault="001D6EAF">
      <w:pPr>
        <w:spacing w:line="360" w:lineRule="auto"/>
        <w:ind w:right="20"/>
        <w:jc w:val="both"/>
        <w:rPr>
          <w:rFonts w:ascii="Times New Roman" w:eastAsia="Times New Roman" w:hAnsi="Times New Roman" w:cs="Times New Roman"/>
          <w:sz w:val="24"/>
          <w:szCs w:val="24"/>
        </w:rPr>
      </w:pPr>
    </w:p>
    <w:p w14:paraId="32E349CC" w14:textId="77777777" w:rsidR="001D6EAF" w:rsidRDefault="00000000">
      <w:pPr>
        <w:pStyle w:val="Ttulo1"/>
      </w:pPr>
      <w:bookmarkStart w:id="0" w:name="_jphsrh19cois" w:colFirst="0" w:colLast="0"/>
      <w:bookmarkEnd w:id="0"/>
      <w:r>
        <w:t>1 INTRODUÇÃO</w:t>
      </w:r>
    </w:p>
    <w:p w14:paraId="5492E123" w14:textId="77777777" w:rsidR="001D6EAF" w:rsidRDefault="001D6EAF">
      <w:pPr>
        <w:spacing w:line="360" w:lineRule="auto"/>
        <w:ind w:right="20"/>
        <w:jc w:val="both"/>
        <w:rPr>
          <w:rFonts w:ascii="Times New Roman" w:eastAsia="Times New Roman" w:hAnsi="Times New Roman" w:cs="Times New Roman"/>
          <w:b/>
          <w:bCs/>
          <w:sz w:val="24"/>
          <w:szCs w:val="24"/>
        </w:rPr>
      </w:pPr>
    </w:p>
    <w:p w14:paraId="21D3E73D" w14:textId="77777777" w:rsidR="001D6EAF" w:rsidRDefault="00000000">
      <w:pPr>
        <w:spacing w:line="360" w:lineRule="auto"/>
        <w:ind w:firstLine="1133"/>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O presente artigo aborda o tema do Direito Penal, com foco específico no crime de feminicídio no Brasil e sua relevante mudança a partir da Lei nº 14.994/2024, na qual o crime foi autonomizado, com um relevante aumento de pena, dentre outras mudanças. O feminicídio é um tema necessário e bastante discutido nos tempos atuais. A lei penal brasileira define vários tipos de violência contra a mulher, e, desde 2024, o ordenamento penal trata o feminicídio como crime autônomo, ou seja, foi consagrado como um tipo penal independente com seus próprios elementos. A delimitação do estudo concentra-se na análise crítica da recente autonomização do feminicídio no Direito Penal Brasileiro, examinando seus fundamentos legais e os efeitos concretos da norma após sua promulgação, destacando ainda sua eficácia no enfrentamento à violência de gênero. Consequentemente, por meio da pesquisa, demonstra-se a validade no ambiente prático sob o ponto de vista criminológico crítico.</w:t>
      </w:r>
      <w:r>
        <w:rPr>
          <w:rFonts w:ascii="Times New Roman" w:eastAsia="Times New Roman" w:hAnsi="Times New Roman" w:cs="Times New Roman"/>
          <w:b/>
          <w:bCs/>
          <w:sz w:val="24"/>
          <w:szCs w:val="24"/>
        </w:rPr>
        <w:t xml:space="preserve"> </w:t>
      </w:r>
    </w:p>
    <w:p w14:paraId="595ADBBC"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problemática central que impulsiona esta pesquisa consiste em investigar e questionar, de forma crítica, se a autonomização do feminicídio como tipo penal específico, a partir da Lei nº 14.994/2024, configura um instrumento efetivamente eficaz no combate à violência contra a mulher ou se representa, em verdade, uma resposta predominantemente simbólica do Estado. O simbolismo penal remete-se à falsa sensação de segurança da população, com respostas jurídicas aceleradas, porém sem eficiência nas soluções criminológicas. Busca-se compreender se a referida inovação legislativa é capaz de produzir impactos concretos na prevenção, repressão e redução dos índices de violência de gênero ou se se limita a reforçar a expansão do Direito Penal, sem enfrentar as causas estruturais e socioculturais que perpetuam essa forma de violência. Nesse contexto, questiona-se ainda se a criação de um tipo penal autônomo contribui para a efetividade das políticas públicas de proteção às mulheres ou se atua apenas como mecanismo de reafirmação normativa, desprovido de resultados práticos significativos na realidade social brasileira. Logo, pretende-se analisar se a alteração promovida pelo legislador possui potencial concreto de transformação no enfrentamento à violência de gênero ou se apenas demonstra uma reação simbólica do sistema </w:t>
      </w:r>
      <w:r>
        <w:rPr>
          <w:rFonts w:ascii="Times New Roman" w:eastAsia="Times New Roman" w:hAnsi="Times New Roman" w:cs="Times New Roman"/>
          <w:sz w:val="24"/>
          <w:szCs w:val="24"/>
        </w:rPr>
        <w:lastRenderedPageBreak/>
        <w:t>penal frente ao crescente número de casos do crime de feminicídio. Busca-se avaliar se a autonomização fortalece a tutela dos direitos das mulheres ou se mantém limitada a um reforço sem impacto relevante nos casos concretos.</w:t>
      </w:r>
    </w:p>
    <w:p w14:paraId="0DACAD91"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Diante disso, o objetivo geral é compreender criticamente, a partir da análise da Lei nº 14.994/2024, os impactos jurídicos e sociais da criação do tipo penal autônomo de feminicídio no Brasil, avaliando se essa mudança tem contribuído para o enfrentamento da violência de gênero, que é tema de destaque na população como um todo, ganhando cada vez mais atenção em razão da sua problemática e gravidade. Os objetivos específicos abordados incluem estudar como o feminicídio passou a ser tratado no sistema penal brasileiro, com ênfase nas mudanças trazidas pela nova Lei, tais como aumento de pena, alteração na progressão de regime, agravantes específicas, novas inserções das causas de aumento de pena e seus principais fundamentos, bem como analisar se a criação do crime de feminicídio como tipo penal independente e, consequentemente, suas transformações têm gerado efeitos práticos no combate à violência contra a mulher, além de verificar a necessidade de transformação das políticas públicas estruturais e o seu papel crucial para reduzir o feminicídio.</w:t>
      </w:r>
    </w:p>
    <w:p w14:paraId="348B473A"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hipóteses que norteiam o presente trabalho partem de uma análise crítica acerca da eficácia da intervenção penal no enfrentamento à violência de gênero. Nesse sentido, sustenta-se, em primeiro ponto, que a autonomização do crime de feminicídio, embora represente um avanço normativo relevante, demonstrando a intenção estatal de conferir maior visibilidade e gravidade ao crime contra a mulher, pode se mostrar limitada quando considerada de forma isolada, isto é, desvinculada da implementação de políticas públicas estruturantes e integradas. Em segundo ponto, parte-se da hipótese de que o endurecimento penal, por si só, não é suficiente para atuar na diminuição dos índices do crime de feminicídio. Isso implica que a simples ampliação da pena reproduz uma lógica punitivista, que demonstra uma resposta repressiva do Estado em detrimento de medidas voltadas à compreensão e ao enfrentamento das causas estruturais e sociais que sustentam a violência de gênero. Assim, questiona-se se a expansão das leis no Direito Penal, desassociada de ações preventivas eficazes, produz impactos concretos na realidade social brasileira ou se permanece no campo simbólico, sem efetiva mudança.</w:t>
      </w:r>
    </w:p>
    <w:p w14:paraId="5E3854B5"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metodologia empregada na presente pesquisa é de natureza qualitativa, assumindo caráter tanto exploratório quanto descritivo, na medida em que busca aprofundar a compreensão do fenômeno analisado e, simultaneamente, descrever suas principais características e implicações no âmbito jurídico e social. Para tanto, adota-se a técnica da análise de conteúdo, empregada de forma sistemática e criteriosa na investigação das fontes </w:t>
      </w:r>
      <w:r>
        <w:rPr>
          <w:rFonts w:ascii="Times New Roman" w:eastAsia="Times New Roman" w:hAnsi="Times New Roman" w:cs="Times New Roman"/>
          <w:sz w:val="24"/>
          <w:szCs w:val="24"/>
        </w:rPr>
        <w:lastRenderedPageBreak/>
        <w:t>selecionadas, permitindo a identificação de padrões, categorias e sentidos presentes nos textos jurídicos e sociais acerca do tema. Tal método é aplicado, inicialmente, ao exame de produções doutrinárias relevantes, com o intuito de compreender as diferentes correntes interpretativas sobre o crime de feminicídio. Paralelamente, realiza-se a interpretação crítica da Lei nº 14.994/2024, em diálogo com outros diplomas normativos correlatos, buscando evidenciar suas inovações, limites e eventuais lacunas, especialmente no que se refere à sua validade prática no enfrentamento da violência de gênero.</w:t>
      </w:r>
    </w:p>
    <w:p w14:paraId="32169F63"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Ademais, são analisadas diversas reportagens e notícias veiculadas em meios de comunicação, consideradas importantes instrumentos de formação de opinião, de construção de narrativas sociais e de conhecimento do elevado índice do crime. A inclusão dessas fontes não se limita apenas à compreensão da repercussão midiática da Lei nº 14.994/2024, mas também tem como objetivo informar e evidenciar a ocorrência de casos de feminicídio em âmbito nacional, permitindo uma aproximação com a realidade concreta. Por meio dessas notícias, busca-se expor a persistência e a elevada incidência desse tipo de crime, tornando visível a sua gravidade. Assim, tais fontes cumprem a função de não apenas ilustrar, mas também problematizar a efetividade das respostas estatais, ao revelar que, apesar das inovações legislativas, os índices permanecem elevados e alarmantes, reforçando a necessidade de uma análise crítica para além da norma. A partir desse conjunto, pretende-se compreender não apenas o conteúdo normativo da nova Lei, mas também os elementos que evidenciam seu possível caráter de simbolismo penal, especialmente no que se refere à sua efetividade prática no enfrentamento da violência de gênero.</w:t>
      </w:r>
    </w:p>
    <w:p w14:paraId="28ED6791" w14:textId="77777777" w:rsidR="001D6EAF" w:rsidRDefault="001D6EAF">
      <w:pPr>
        <w:spacing w:line="360" w:lineRule="auto"/>
        <w:ind w:firstLine="1133"/>
        <w:jc w:val="both"/>
        <w:rPr>
          <w:rFonts w:ascii="Times New Roman" w:eastAsia="Times New Roman" w:hAnsi="Times New Roman" w:cs="Times New Roman"/>
          <w:sz w:val="24"/>
          <w:szCs w:val="24"/>
        </w:rPr>
      </w:pPr>
    </w:p>
    <w:p w14:paraId="36AAEDE8" w14:textId="77777777" w:rsidR="001D6EAF" w:rsidRDefault="001D6EAF">
      <w:pPr>
        <w:spacing w:line="360" w:lineRule="auto"/>
        <w:ind w:firstLine="1133"/>
        <w:jc w:val="both"/>
        <w:rPr>
          <w:rFonts w:ascii="Times New Roman" w:eastAsia="Times New Roman" w:hAnsi="Times New Roman" w:cs="Times New Roman"/>
          <w:sz w:val="24"/>
          <w:szCs w:val="24"/>
        </w:rPr>
      </w:pPr>
    </w:p>
    <w:p w14:paraId="5675BB04" w14:textId="77777777" w:rsidR="001D6EAF" w:rsidRDefault="00000000">
      <w:pPr>
        <w:pStyle w:val="Ttulo1"/>
        <w:ind w:right="0"/>
      </w:pPr>
      <w:bookmarkStart w:id="1" w:name="_ejcrhoqesxr5" w:colFirst="0" w:colLast="0"/>
      <w:bookmarkEnd w:id="1"/>
      <w:r>
        <w:t xml:space="preserve">2 A EVOLUÇÃO JURÍDICA DO CRIME DE FEMINICÍDIO NO SISTEMA PENAL BRASILEIRO E AS MUDANÇAS TRAZIDAS COM A NOVA LEI </w:t>
      </w:r>
    </w:p>
    <w:p w14:paraId="7D946B35" w14:textId="77777777" w:rsidR="001D6EAF" w:rsidRDefault="00000000">
      <w:pPr>
        <w:pStyle w:val="Ttulo2"/>
        <w:ind w:right="0"/>
      </w:pPr>
      <w:bookmarkStart w:id="2" w:name="_1xge17pgzg6s" w:colFirst="0" w:colLast="0"/>
      <w:bookmarkEnd w:id="2"/>
      <w:r>
        <w:t>2.1 Da qualificadora ao Tipo Penal Autônomo</w:t>
      </w:r>
    </w:p>
    <w:p w14:paraId="41E1B987" w14:textId="77777777" w:rsidR="001D6EAF" w:rsidRDefault="001D6EAF">
      <w:pPr>
        <w:spacing w:line="360" w:lineRule="auto"/>
        <w:ind w:firstLine="1133"/>
        <w:jc w:val="both"/>
        <w:rPr>
          <w:rFonts w:ascii="Times New Roman" w:eastAsia="Times New Roman" w:hAnsi="Times New Roman" w:cs="Times New Roman"/>
          <w:sz w:val="24"/>
          <w:szCs w:val="24"/>
        </w:rPr>
      </w:pPr>
    </w:p>
    <w:p w14:paraId="0B9751D4"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feminicídio no ordenamento penal brasileiro iniciou seu ingresso como qualificadora do homicídio em 2015, e apenas em 2024 se consagrou como crime autônomo. Contudo, muito antes dessa inclusão, o termo "feminicídio" já era empregado e amplamente debatido.</w:t>
      </w:r>
    </w:p>
    <w:p w14:paraId="472AE711"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palavra feminicídio foi usada pela primeira vez pela socióloga sul-africana Diana Russel, no intuito de dar definição específica para homicídios dentro de um contexto de assassinatos de mulheres em crime de guerra, posteriormente o termo foi utilizado largamente devido a uma grande quantidade de mortes na cidade de Juarez, México, um caso que ficou conhecido como Campo Algodoeiro, que inclusive teve uma </w:t>
      </w:r>
      <w:r>
        <w:rPr>
          <w:rFonts w:ascii="Times New Roman" w:eastAsia="Times New Roman" w:hAnsi="Times New Roman" w:cs="Times New Roman"/>
          <w:sz w:val="20"/>
          <w:szCs w:val="20"/>
        </w:rPr>
        <w:lastRenderedPageBreak/>
        <w:t>condenação pela Corte Interamericana de Direitos Humanos. A partir dessas duas experiências vários países, principalmente na América Latina, começaram a criar leis criminalizando a conduta do feminicídio (Oliveira, 2025).</w:t>
      </w:r>
    </w:p>
    <w:p w14:paraId="53EF41BB" w14:textId="77777777" w:rsidR="001D6EAF" w:rsidRDefault="001D6EAF">
      <w:pPr>
        <w:spacing w:line="240" w:lineRule="auto"/>
        <w:ind w:left="2267"/>
        <w:jc w:val="both"/>
        <w:rPr>
          <w:rFonts w:ascii="Times New Roman" w:eastAsia="Times New Roman" w:hAnsi="Times New Roman" w:cs="Times New Roman"/>
          <w:sz w:val="20"/>
          <w:szCs w:val="20"/>
        </w:rPr>
      </w:pPr>
    </w:p>
    <w:p w14:paraId="1CB97283"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Já no sentido jurídico da palavra, o feminicídio, como Nucci (2025) afirma, tem como objeto material a mulher que sofre o crime, enquanto o objeto jurídico é a vida humana, com particular ênfase no contexto de vulnerabilidade.</w:t>
      </w:r>
    </w:p>
    <w:p w14:paraId="116ABB53"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portal </w:t>
      </w:r>
      <w:proofErr w:type="spellStart"/>
      <w:r>
        <w:rPr>
          <w:rFonts w:ascii="Times New Roman" w:eastAsia="Times New Roman" w:hAnsi="Times New Roman" w:cs="Times New Roman"/>
          <w:sz w:val="24"/>
          <w:szCs w:val="24"/>
        </w:rPr>
        <w:t>Jurismente</w:t>
      </w:r>
      <w:proofErr w:type="spellEnd"/>
      <w:r>
        <w:rPr>
          <w:rFonts w:ascii="Times New Roman" w:eastAsia="Times New Roman" w:hAnsi="Times New Roman" w:cs="Times New Roman"/>
          <w:sz w:val="24"/>
          <w:szCs w:val="24"/>
        </w:rPr>
        <w:t xml:space="preserve"> (2025) publicou que o feminicídio representa uma das maiores inovações legislativas do direito penal brasileiro, consolidando juridicamente o reconhecimento de que a violência de gênero possui características específicas que demandam tratamento penal diferenciado. A Lei nº 13.104/2015, na qual o feminicídio entrou como qualificadora, materializou o compromisso internacional do Brasil no combate à violência de gênero e introduziu complexidade dogmática que exige análise técnica mais rígida.</w:t>
      </w:r>
    </w:p>
    <w:p w14:paraId="46A10750"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feminicídio no ano passado completou dez anos desde sua inclusão no Ordenamento Penal Brasileiro. Sancionada em 2015, a lei do feminicídio reconheceu como qualificadora os motivos relacionados exclusivamente ao sexo feminino.</w:t>
      </w:r>
    </w:p>
    <w:p w14:paraId="2AA26FB1"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Sancionada pela então presidente Dilma Rousseff, a legislação teve como origem um projeto de lei do Senado elaborado a partir de recomendações da CPMI da Violência Contra a Mulher. Integrante do colegiado, na época como deputada, a senadora Professora Dorinha Seabra (</w:t>
      </w:r>
      <w:proofErr w:type="spellStart"/>
      <w:r>
        <w:rPr>
          <w:rFonts w:ascii="Times New Roman" w:eastAsia="Times New Roman" w:hAnsi="Times New Roman" w:cs="Times New Roman"/>
          <w:sz w:val="20"/>
          <w:szCs w:val="20"/>
        </w:rPr>
        <w:t>União-TO</w:t>
      </w:r>
      <w:proofErr w:type="spellEnd"/>
      <w:r>
        <w:rPr>
          <w:rFonts w:ascii="Times New Roman" w:eastAsia="Times New Roman" w:hAnsi="Times New Roman" w:cs="Times New Roman"/>
          <w:sz w:val="20"/>
          <w:szCs w:val="20"/>
        </w:rPr>
        <w:t>) defende o endurecimento da pena para esse tipo de crime. (Brasil, 2025).</w:t>
      </w:r>
    </w:p>
    <w:p w14:paraId="34A394CB" w14:textId="77777777" w:rsidR="001D6EAF" w:rsidRDefault="001D6EAF">
      <w:pPr>
        <w:spacing w:line="240" w:lineRule="auto"/>
        <w:ind w:left="2267"/>
        <w:jc w:val="both"/>
        <w:rPr>
          <w:rFonts w:ascii="Times New Roman" w:eastAsia="Times New Roman" w:hAnsi="Times New Roman" w:cs="Times New Roman"/>
          <w:sz w:val="20"/>
          <w:szCs w:val="20"/>
        </w:rPr>
      </w:pPr>
    </w:p>
    <w:p w14:paraId="02901222"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surgimento do feminicídio no ordenamento penal brasileiro, desde sua implementação, sofreu algumas mudanças, com ênfase no problema da violência contra a mulher. Até a implementação dessa lei, não existia ainda nenhuma punição "a mais" em razão da prática do homicídio contra a mulher por motivo de gênero. Nesse sentido, por mais que a qualificadora tenha sido criada para ter a pena mais agravada e punir de forma mais rigorosa, dando maior visibilidade à gravidade desse crime, mostrou-se insuficiente e não apresentou nenhuma melhora significativa, havendo uma ascensão no Brasil na última década.</w:t>
      </w:r>
    </w:p>
    <w:p w14:paraId="6C14426B"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consequência dos milhares de casos, após 9 anos da sua implementação, o legislador optou pela mudança com uma nova intervenção penal: em outubro de 2024, surgiu e foi sancionada a Lei nº 14.994/2024, que autonomizou o crime de feminicídio e conferiu-lhe status de tipo penal próprio no artigo 121-A do Código Penal. Silva (2026) afirma que a criação do crime autônomo de feminicídio representa uma inflexão relevante na política criminal brasileira. A nova legislação não apenas altera a técnica legislativa empregada, mas promove uma redefinição na forma como o ordenamento jurídico enxerga a repressão penal à violência de gênero letal.</w:t>
      </w:r>
    </w:p>
    <w:p w14:paraId="6044F92F" w14:textId="77777777" w:rsidR="001D6EAF" w:rsidRDefault="001D6EAF">
      <w:pPr>
        <w:pStyle w:val="Ttulo2"/>
        <w:ind w:right="0" w:firstLine="1133"/>
      </w:pPr>
      <w:bookmarkStart w:id="3" w:name="_ev3lyjh8mmac" w:colFirst="0" w:colLast="0"/>
      <w:bookmarkEnd w:id="3"/>
    </w:p>
    <w:p w14:paraId="511869A6" w14:textId="77777777" w:rsidR="001D6EAF" w:rsidRDefault="00000000">
      <w:pPr>
        <w:pStyle w:val="Ttulo2"/>
        <w:ind w:right="0"/>
      </w:pPr>
      <w:bookmarkStart w:id="4" w:name="_zv7namvmjqo" w:colFirst="0" w:colLast="0"/>
      <w:bookmarkEnd w:id="4"/>
      <w:r>
        <w:t>2.2 Principais mudanças trazidas pela Lei 14.994/2024</w:t>
      </w:r>
    </w:p>
    <w:p w14:paraId="3099DC86" w14:textId="77777777" w:rsidR="001D6EAF" w:rsidRDefault="001D6EAF">
      <w:pPr>
        <w:spacing w:line="360" w:lineRule="auto"/>
        <w:ind w:firstLine="1133"/>
        <w:jc w:val="both"/>
        <w:rPr>
          <w:rFonts w:ascii="Times New Roman" w:eastAsia="Times New Roman" w:hAnsi="Times New Roman" w:cs="Times New Roman"/>
          <w:b/>
          <w:bCs/>
          <w:sz w:val="24"/>
          <w:szCs w:val="24"/>
        </w:rPr>
      </w:pPr>
    </w:p>
    <w:p w14:paraId="19ADC4A4"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Conforme a redação anterior do Código Penal Brasileiro, antes das alterações promovidas pela Lei nº 14.994/2024, o feminicídio era tratado como qualificadora do crime de homicídio, nos seguintes termos:</w:t>
      </w:r>
    </w:p>
    <w:p w14:paraId="3A5D97C1"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 121. Matar alguém:</w:t>
      </w:r>
    </w:p>
    <w:p w14:paraId="3393883A"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Pena - reclusão, de seis a vinte anos.</w:t>
      </w:r>
    </w:p>
    <w:p w14:paraId="3DDDECFE"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05D99089"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Feminicídio (Incluído pela Lei nº 13.104, de 2015)</w:t>
      </w:r>
    </w:p>
    <w:p w14:paraId="068A9D75"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 - (Revogado pela Lei nº 14.994, de 2024).</w:t>
      </w:r>
    </w:p>
    <w:p w14:paraId="0EC74223" w14:textId="77777777" w:rsidR="001D6EAF" w:rsidRDefault="001D6EAF">
      <w:pPr>
        <w:spacing w:line="240" w:lineRule="auto"/>
        <w:ind w:left="2267"/>
        <w:jc w:val="both"/>
        <w:rPr>
          <w:rFonts w:ascii="Times New Roman" w:eastAsia="Times New Roman" w:hAnsi="Times New Roman" w:cs="Times New Roman"/>
          <w:sz w:val="20"/>
          <w:szCs w:val="20"/>
        </w:rPr>
      </w:pPr>
    </w:p>
    <w:p w14:paraId="0D40E7C6"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a entrada em vigor da Lei nº 14.994/2024, o feminicídio passou a ser previsto como crime autônomo, conforme se observa:</w:t>
      </w:r>
    </w:p>
    <w:p w14:paraId="0E084D1B"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Feminicídio (Incluído pela Lei nº 14.994, de 2024)</w:t>
      </w:r>
    </w:p>
    <w:p w14:paraId="6F82C4CB"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 121-A. Matar mulher por razões da condição do sexo feminino: (Incluído pela Lei nº 14.994, de 2024)</w:t>
      </w:r>
    </w:p>
    <w:p w14:paraId="06C4A499"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Pena – reclusão, de 20 (vinte) a 40 (quarenta) anos.</w:t>
      </w:r>
    </w:p>
    <w:p w14:paraId="40EB3702"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1AAA0EC3" w14:textId="77777777" w:rsidR="001D6EAF" w:rsidRDefault="001D6EAF">
      <w:pPr>
        <w:spacing w:line="240" w:lineRule="auto"/>
        <w:ind w:left="2267"/>
        <w:jc w:val="both"/>
        <w:rPr>
          <w:rFonts w:ascii="Times New Roman" w:eastAsia="Times New Roman" w:hAnsi="Times New Roman" w:cs="Times New Roman"/>
          <w:sz w:val="20"/>
          <w:szCs w:val="20"/>
        </w:rPr>
      </w:pPr>
    </w:p>
    <w:p w14:paraId="090509D0"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Diante dos artigos apresentados acima, percebe-se a diferença entre o homicídio com a qualificadora de feminicídio (art. 121, § 2º, VI) e o feminicídio como crime autônomo. O feminicídio, por sua vez, é socialmente mais grave, diferenciando-se por se tratar do assassinato de uma mulher em razão da sua condição de sexo feminino, sendo, portanto, considerado um crime de gênero. Com a entrada em vigor da Lei nº 14.994/2024, passou a ser considerado crime autônomo, com um aumento de pena significativo. Agora, a pena mínima foi aumentada de 12 para 20 anos de reclusão, podendo chegar até 40 anos. Isso torna a punição mais proporcional à gravidade do crime, destacando a relevância do combate à violência contra as mulheres (Santos, 2024).</w:t>
      </w:r>
    </w:p>
    <w:p w14:paraId="2156222B"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Vale ressaltar também que a Lei nº 14.994/2024 dispõe de agravantes específicas, nas quais a pena pode ter um aumento de 1/3 até a metade nos casos em que a vítima possui deficiência, está grávida ou é vulnerável, além de inserir novas causas de aumento de pena, incluindo situações que agravam ainda mais o contexto da violência contra a mulher. A progressão de regime também foi alterada, sendo necessário o cumprimento de 55% da pena, em vez dos 50% exigidos anteriormente. Além disso, foi vedada a liberdade condicional.</w:t>
      </w:r>
    </w:p>
    <w:p w14:paraId="0069888B"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Conforme ressalta Guilherme de Souza Nucci, em sua obra "Curso de Direito Penal", o feminicídio surge constituindo um tipo similar, mas com a inclusão de elementos normativos (depende de valoração). Portanto, é formado pela conduta de matar associada à mulher (ser humano do gênero feminino).</w:t>
      </w:r>
    </w:p>
    <w:p w14:paraId="6BA7E375"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 essa alteração legislativa, observa-se que houve um progresso significativo tanto no aspecto jurídico quanto no simbólico, uma vez que o feminicídio passou a ser reconhecido como crime autônomo, exigindo, ao menos no plano normativo, um enfrentamento mais rigoroso e visível, sobretudo por estar diretamente ligado a padrões estruturais de violência de gênero.</w:t>
      </w:r>
    </w:p>
    <w:p w14:paraId="22CDEABB"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Seguindo a obra de Nucci, ele argumenta que outra razão para incluir o feminicídio como delito autônomo foi evitar a aplicação das causas de diminuição do § 1º do art. 121 (motivo de relevante valor social ou moral e domínio de violenta emoção logo após injusta provocação da vítima). Assim, é nítido que a autonomização do tipo penal confere maior visibilidade à gravidade do delito e reforça o discurso de proteção à mulher.</w:t>
      </w:r>
    </w:p>
    <w:p w14:paraId="50B2C719" w14:textId="77777777" w:rsidR="001D6EAF" w:rsidRDefault="001D6EAF">
      <w:pPr>
        <w:spacing w:line="360" w:lineRule="auto"/>
        <w:ind w:firstLine="1133"/>
        <w:jc w:val="both"/>
        <w:rPr>
          <w:rFonts w:ascii="Times New Roman" w:eastAsia="Times New Roman" w:hAnsi="Times New Roman" w:cs="Times New Roman"/>
          <w:sz w:val="24"/>
          <w:szCs w:val="24"/>
        </w:rPr>
      </w:pPr>
    </w:p>
    <w:p w14:paraId="758CE8A3" w14:textId="77777777" w:rsidR="001D6EAF" w:rsidRDefault="001D6EAF">
      <w:pPr>
        <w:spacing w:line="360" w:lineRule="auto"/>
        <w:ind w:firstLine="1133"/>
        <w:jc w:val="both"/>
        <w:rPr>
          <w:rFonts w:ascii="Times New Roman" w:eastAsia="Times New Roman" w:hAnsi="Times New Roman" w:cs="Times New Roman"/>
          <w:sz w:val="24"/>
          <w:szCs w:val="24"/>
        </w:rPr>
      </w:pPr>
    </w:p>
    <w:p w14:paraId="39C5BE42" w14:textId="77777777" w:rsidR="001D6EAF" w:rsidRDefault="00000000">
      <w:pPr>
        <w:pStyle w:val="Ttulo1"/>
        <w:ind w:right="0"/>
      </w:pPr>
      <w:bookmarkStart w:id="5" w:name="_mw4tivx5snxg" w:colFirst="0" w:colLast="0"/>
      <w:bookmarkEnd w:id="5"/>
      <w:r>
        <w:t>3 EXPANSÃO PENAL NO ENFRENTAMENTO À VIOLÊNCIA DE GÊNERO</w:t>
      </w:r>
    </w:p>
    <w:p w14:paraId="7220CC5B" w14:textId="77777777" w:rsidR="001D6EAF" w:rsidRDefault="00000000">
      <w:pPr>
        <w:pStyle w:val="Ttulo2"/>
        <w:ind w:right="0"/>
      </w:pPr>
      <w:bookmarkStart w:id="6" w:name="_hobskx9nx01p" w:colFirst="0" w:colLast="0"/>
      <w:bookmarkEnd w:id="6"/>
      <w:r>
        <w:t>3.1 Mudanças legislativas correlatas ao crime de feminicídio</w:t>
      </w:r>
    </w:p>
    <w:p w14:paraId="6F4CABDA" w14:textId="77777777" w:rsidR="001D6EAF" w:rsidRDefault="001D6EAF">
      <w:pPr>
        <w:spacing w:line="360" w:lineRule="auto"/>
        <w:ind w:firstLine="1133"/>
        <w:jc w:val="both"/>
        <w:rPr>
          <w:rFonts w:ascii="Times New Roman" w:eastAsia="Times New Roman" w:hAnsi="Times New Roman" w:cs="Times New Roman"/>
          <w:b/>
          <w:bCs/>
          <w:sz w:val="24"/>
          <w:szCs w:val="24"/>
        </w:rPr>
      </w:pPr>
    </w:p>
    <w:p w14:paraId="6B69C081"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da autonomização do feminicídio promovida pela Lei nº 14.994/2024, o ordenamento jurídico brasileiro passou por recentes alterações voltadas ao endurecimento da repressão à violência contra a mulher. </w:t>
      </w:r>
    </w:p>
    <w:p w14:paraId="530B0DDF"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Foi sancionado um conjunto de três leis que amplia a proteção às mulheres no Brasil e reforça o enfrentamento à violência doméstica e ao feminicídio. As medidas foram publicadas no Diário Oficial da União em 10 de abril de 2026 e abrangem a monitoração eletrônica de agressores, a inclusão da violência vicária na legislação e a criação do Dia Nacional de Proteção e Combate à Violência contra as Mulheres e Meninas Indígenas (Silva, 2026).</w:t>
      </w:r>
    </w:p>
    <w:p w14:paraId="6A200B56" w14:textId="77777777" w:rsidR="001D6EAF" w:rsidRDefault="001D6EAF">
      <w:pPr>
        <w:spacing w:line="240" w:lineRule="auto"/>
        <w:ind w:left="2267"/>
        <w:jc w:val="both"/>
        <w:rPr>
          <w:rFonts w:ascii="Times New Roman" w:eastAsia="Times New Roman" w:hAnsi="Times New Roman" w:cs="Times New Roman"/>
          <w:sz w:val="20"/>
          <w:szCs w:val="20"/>
        </w:rPr>
      </w:pPr>
    </w:p>
    <w:p w14:paraId="6A5FCE96"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Lei nº 15.383/2026 trouxe importantes mudanças no ordenamento jurídico, como elencado em seu artigo 1º, o qual versa sobre a alteração da Lei Maria da Penha, bem como das Leis nº 13.756/2018 e nº 14.899/2024, a fim de estabelecer a monitoração eletrônica de agressores como medida protetiva autônoma, definir critérios de prioridade para sua aplicação, prever causa de aumento de pena no crime de descumprimento de medida protetiva e dispor sobre campanhas e diretrizes orçamentárias. Conforme a Agência Senado (2026), agressores que colocarem em risco a vida de mulheres e crianças deverão usar tornozeleira eletrônica de imediato.</w:t>
      </w:r>
    </w:p>
    <w:p w14:paraId="7885435B"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Lei nº 15.384/2026 trata do </w:t>
      </w:r>
      <w:proofErr w:type="spellStart"/>
      <w:r>
        <w:rPr>
          <w:rFonts w:ascii="Times New Roman" w:eastAsia="Times New Roman" w:hAnsi="Times New Roman" w:cs="Times New Roman"/>
          <w:sz w:val="24"/>
          <w:szCs w:val="24"/>
        </w:rPr>
        <w:t>vicaricídio</w:t>
      </w:r>
      <w:proofErr w:type="spellEnd"/>
      <w:r>
        <w:rPr>
          <w:rFonts w:ascii="Times New Roman" w:eastAsia="Times New Roman" w:hAnsi="Times New Roman" w:cs="Times New Roman"/>
          <w:sz w:val="24"/>
          <w:szCs w:val="24"/>
        </w:rPr>
        <w:t xml:space="preserve"> em seu artigo 121-B. O termo "</w:t>
      </w:r>
      <w:proofErr w:type="spellStart"/>
      <w:r>
        <w:rPr>
          <w:rFonts w:ascii="Times New Roman" w:eastAsia="Times New Roman" w:hAnsi="Times New Roman" w:cs="Times New Roman"/>
          <w:sz w:val="24"/>
          <w:szCs w:val="24"/>
        </w:rPr>
        <w:t>vicaricídio</w:t>
      </w:r>
      <w:proofErr w:type="spellEnd"/>
      <w:r>
        <w:rPr>
          <w:rFonts w:ascii="Times New Roman" w:eastAsia="Times New Roman" w:hAnsi="Times New Roman" w:cs="Times New Roman"/>
          <w:sz w:val="24"/>
          <w:szCs w:val="24"/>
        </w:rPr>
        <w:t xml:space="preserve">" refere-se ao assassinato de terceiros, como filhos ou pessoas próximas, com o objetivo de causar sofrimento psicológico à mulher (CNN Brasil, 2026). </w:t>
      </w:r>
    </w:p>
    <w:p w14:paraId="2B75E55C"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O termo “vicária” deriva do latim </w:t>
      </w:r>
      <w:proofErr w:type="spellStart"/>
      <w:r>
        <w:rPr>
          <w:rFonts w:ascii="Times New Roman" w:eastAsia="Times New Roman" w:hAnsi="Times New Roman" w:cs="Times New Roman"/>
          <w:i/>
          <w:iCs/>
          <w:sz w:val="20"/>
          <w:szCs w:val="20"/>
        </w:rPr>
        <w:t>vicarius</w:t>
      </w:r>
      <w:proofErr w:type="spellEnd"/>
      <w:r>
        <w:rPr>
          <w:rFonts w:ascii="Times New Roman" w:eastAsia="Times New Roman" w:hAnsi="Times New Roman" w:cs="Times New Roman"/>
          <w:sz w:val="20"/>
          <w:szCs w:val="20"/>
        </w:rPr>
        <w:t xml:space="preserve">, que remete à ideia de </w:t>
      </w:r>
      <w:proofErr w:type="spellStart"/>
      <w:r>
        <w:rPr>
          <w:rFonts w:ascii="Times New Roman" w:eastAsia="Times New Roman" w:hAnsi="Times New Roman" w:cs="Times New Roman"/>
          <w:sz w:val="20"/>
          <w:szCs w:val="20"/>
        </w:rPr>
        <w:t>substituição.No</w:t>
      </w:r>
      <w:proofErr w:type="spellEnd"/>
      <w:r>
        <w:rPr>
          <w:rFonts w:ascii="Times New Roman" w:eastAsia="Times New Roman" w:hAnsi="Times New Roman" w:cs="Times New Roman"/>
          <w:sz w:val="20"/>
          <w:szCs w:val="20"/>
        </w:rPr>
        <w:t xml:space="preserve"> contexto da violência de gênero, essa substituição ocorre quando o agressor instrumentaliza terceiros afetivamente significativos para produzir sofrimento emocional (Migalhas, 2026).</w:t>
      </w:r>
    </w:p>
    <w:p w14:paraId="64ECB217" w14:textId="77777777" w:rsidR="001D6EAF" w:rsidRDefault="001D6EAF">
      <w:pPr>
        <w:spacing w:line="240" w:lineRule="auto"/>
        <w:ind w:left="2267"/>
        <w:jc w:val="both"/>
        <w:rPr>
          <w:rFonts w:ascii="Times New Roman" w:eastAsia="Times New Roman" w:hAnsi="Times New Roman" w:cs="Times New Roman"/>
          <w:sz w:val="20"/>
          <w:szCs w:val="20"/>
        </w:rPr>
      </w:pPr>
    </w:p>
    <w:p w14:paraId="67791AFB"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Ainda conforme publicado pela Agência </w:t>
      </w:r>
      <w:proofErr w:type="spellStart"/>
      <w:r>
        <w:rPr>
          <w:rFonts w:ascii="Times New Roman" w:eastAsia="Times New Roman" w:hAnsi="Times New Roman" w:cs="Times New Roman"/>
          <w:sz w:val="24"/>
          <w:szCs w:val="24"/>
        </w:rPr>
        <w:t>Gov</w:t>
      </w:r>
      <w:proofErr w:type="spellEnd"/>
      <w:r>
        <w:rPr>
          <w:rFonts w:ascii="Times New Roman" w:eastAsia="Times New Roman" w:hAnsi="Times New Roman" w:cs="Times New Roman"/>
          <w:sz w:val="24"/>
          <w:szCs w:val="24"/>
        </w:rPr>
        <w:t xml:space="preserve"> (2026), foi instituído o dia 5 de setembro como o Dia Nacional de Proteção e Combate à Violência contra as Mulheres e Meninas Indígenas, visando ampliar a visibilidade, fortalecer a prevenção e incentivar denúncias no país.</w:t>
      </w:r>
    </w:p>
    <w:p w14:paraId="2C0D0E57" w14:textId="77777777" w:rsidR="001D6EAF" w:rsidRDefault="001D6EAF">
      <w:pPr>
        <w:spacing w:line="360" w:lineRule="auto"/>
        <w:ind w:firstLine="1133"/>
        <w:jc w:val="both"/>
        <w:rPr>
          <w:rFonts w:ascii="Times New Roman" w:eastAsia="Times New Roman" w:hAnsi="Times New Roman" w:cs="Times New Roman"/>
          <w:sz w:val="24"/>
          <w:szCs w:val="24"/>
        </w:rPr>
      </w:pPr>
    </w:p>
    <w:p w14:paraId="0BEBDC73" w14:textId="77777777" w:rsidR="001D6EAF" w:rsidRDefault="00000000">
      <w:pPr>
        <w:pStyle w:val="Ttulo1"/>
        <w:ind w:right="0"/>
      </w:pPr>
      <w:bookmarkStart w:id="7" w:name="_ubxaux3gt8oa" w:colFirst="0" w:colLast="0"/>
      <w:bookmarkEnd w:id="7"/>
      <w:r>
        <w:t>4 FEMINICÍDIO COMO CATEGORIA PENAL AUTÔNOMA: EFEITOS PRÁTICOS NO COMBATE À VIOLÊNCIA DE GÊNERO</w:t>
      </w:r>
    </w:p>
    <w:p w14:paraId="7274EE22" w14:textId="77777777" w:rsidR="001D6EAF" w:rsidRDefault="00000000">
      <w:pPr>
        <w:pStyle w:val="Ttulo2"/>
        <w:ind w:right="0"/>
      </w:pPr>
      <w:bookmarkStart w:id="8" w:name="_4hlwfjxxj3a2" w:colFirst="0" w:colLast="0"/>
      <w:bookmarkEnd w:id="8"/>
      <w:r>
        <w:t>4.1 Análise de dados após a mudança legislativa</w:t>
      </w:r>
    </w:p>
    <w:p w14:paraId="0AE07DB3" w14:textId="77777777" w:rsidR="001D6EAF" w:rsidRDefault="001D6EAF">
      <w:pPr>
        <w:spacing w:line="360" w:lineRule="auto"/>
        <w:ind w:firstLine="1133"/>
        <w:jc w:val="both"/>
        <w:rPr>
          <w:rFonts w:ascii="Times New Roman" w:eastAsia="Times New Roman" w:hAnsi="Times New Roman" w:cs="Times New Roman"/>
          <w:b/>
          <w:bCs/>
          <w:sz w:val="24"/>
          <w:szCs w:val="24"/>
        </w:rPr>
      </w:pPr>
    </w:p>
    <w:p w14:paraId="6142EC81"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analisar a realidade social após a promulgação da Lei nº 14.994/2024, percebe-se que essa mudança não tem sido suficiente para produzir efeitos concretos no combate à violência de gênero, uma vez que os índices de mortes de mulheres permanecem elevados. Diante desse cenário, surge o questionamento acerca da efetividade dessa resposta legislativa, indagando se essa mudança trouxe efeitos reais no combate à violência de gênero.</w:t>
      </w:r>
    </w:p>
    <w:p w14:paraId="5F77FEB5"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registra recorde histórico de feminicídios em 2025; quatro mulheres são assassinadas por dia no país" (G1, 2026). "O Brasil tem o maior número de feminicídios dos últimos 10 anos, diz pesquisa" (CNN Brasil, 2026). Esses são alguns títulos de inúmeras reportagens sobre esse bárbaro crime, cometido no ano de 2025. Conforme dados do Fórum Brasileiro de Segurança Pública, na última década houve elevado aumento no número de casos de feminicídio no Brasil, conforme gráfico que segue.</w:t>
      </w:r>
    </w:p>
    <w:p w14:paraId="19734A89" w14:textId="77777777" w:rsidR="001D6EAF" w:rsidRDefault="001D6EAF">
      <w:pPr>
        <w:spacing w:line="360" w:lineRule="auto"/>
        <w:ind w:firstLine="1133"/>
        <w:jc w:val="both"/>
        <w:rPr>
          <w:rFonts w:ascii="Times New Roman" w:eastAsia="Times New Roman" w:hAnsi="Times New Roman" w:cs="Times New Roman"/>
          <w:sz w:val="24"/>
          <w:szCs w:val="24"/>
        </w:rPr>
      </w:pPr>
    </w:p>
    <w:p w14:paraId="76FF2902" w14:textId="77777777" w:rsidR="001D6EAF" w:rsidRDefault="00000000">
      <w:pPr>
        <w:spacing w:line="360" w:lineRule="auto"/>
        <w:ind w:firstLine="1133"/>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2982AF3" wp14:editId="02B4AA29">
            <wp:extent cx="2987719" cy="199181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987719" cy="1991813"/>
                    </a:xfrm>
                    <a:prstGeom prst="rect">
                      <a:avLst/>
                    </a:prstGeom>
                    <a:ln/>
                  </pic:spPr>
                </pic:pic>
              </a:graphicData>
            </a:graphic>
          </wp:inline>
        </w:drawing>
      </w:r>
    </w:p>
    <w:p w14:paraId="35D51741" w14:textId="77777777" w:rsidR="001D6EAF" w:rsidRDefault="00000000">
      <w:pPr>
        <w:spacing w:line="360" w:lineRule="auto"/>
        <w:ind w:firstLine="1133"/>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Título: </w:t>
      </w:r>
      <w:r>
        <w:rPr>
          <w:rFonts w:ascii="Times New Roman" w:eastAsia="Times New Roman" w:hAnsi="Times New Roman" w:cs="Times New Roman"/>
          <w:sz w:val="20"/>
          <w:szCs w:val="20"/>
        </w:rPr>
        <w:t>Retrato dos feminicídios no Brasil.</w:t>
      </w:r>
    </w:p>
    <w:p w14:paraId="4AE9F73F" w14:textId="77777777" w:rsidR="001D6EAF" w:rsidRDefault="00000000">
      <w:pPr>
        <w:spacing w:line="360" w:lineRule="auto"/>
        <w:ind w:firstLine="1133"/>
        <w:rPr>
          <w:rFonts w:ascii="Times New Roman" w:eastAsia="Times New Roman" w:hAnsi="Times New Roman" w:cs="Times New Roman"/>
          <w:sz w:val="20"/>
          <w:szCs w:val="20"/>
        </w:rPr>
      </w:pPr>
      <w:r>
        <w:rPr>
          <w:rFonts w:ascii="Times New Roman" w:eastAsia="Times New Roman" w:hAnsi="Times New Roman" w:cs="Times New Roman"/>
          <w:b/>
          <w:bCs/>
          <w:sz w:val="20"/>
          <w:szCs w:val="20"/>
        </w:rPr>
        <w:t>Fonte:</w:t>
      </w:r>
      <w:r>
        <w:rPr>
          <w:rFonts w:ascii="Times New Roman" w:eastAsia="Times New Roman" w:hAnsi="Times New Roman" w:cs="Times New Roman"/>
          <w:sz w:val="20"/>
          <w:szCs w:val="20"/>
        </w:rPr>
        <w:t xml:space="preserve"> Fórum Brasileiro de Segurança Pública. </w:t>
      </w:r>
    </w:p>
    <w:p w14:paraId="0CBF158A" w14:textId="77777777" w:rsidR="001D6EAF" w:rsidRDefault="001D6EAF">
      <w:pPr>
        <w:spacing w:line="360" w:lineRule="auto"/>
        <w:ind w:firstLine="1133"/>
        <w:rPr>
          <w:rFonts w:ascii="Times New Roman" w:eastAsia="Times New Roman" w:hAnsi="Times New Roman" w:cs="Times New Roman"/>
          <w:b/>
          <w:bCs/>
          <w:sz w:val="20"/>
          <w:szCs w:val="20"/>
        </w:rPr>
      </w:pPr>
    </w:p>
    <w:p w14:paraId="19AA06F5" w14:textId="77777777" w:rsidR="001D6EAF" w:rsidRDefault="001D6EAF">
      <w:pPr>
        <w:spacing w:line="360" w:lineRule="auto"/>
        <w:ind w:firstLine="1133"/>
        <w:rPr>
          <w:rFonts w:ascii="Times New Roman" w:eastAsia="Times New Roman" w:hAnsi="Times New Roman" w:cs="Times New Roman"/>
          <w:b/>
          <w:bCs/>
          <w:sz w:val="20"/>
          <w:szCs w:val="20"/>
        </w:rPr>
      </w:pPr>
    </w:p>
    <w:p w14:paraId="2AD9A4D8"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segundo o Fórum Brasileiro de Segurança Pública (2026), o número de vítimas do crime feminicídio em 2025, teve um crescimento de 4,7% em relação ao ano anterior, tendo uma taxa de 1,43 mortes por 100 mil mulheres. Neste contexto, apesar dos esforços na proteção à mulher, é evidente que os índices de violência de gênero seguem em crescimento. Segundo publicação do Senado Federal (2026), o Brasil enfrenta atualmente uma realidade alarmante no enfrentamento à violência de gênero. Acrescenta-se que a maioria dos crimes ocorre dentro da própria residência, evidenciando que o maior risco para muitas mulheres está dentro de casa.</w:t>
      </w:r>
    </w:p>
    <w:p w14:paraId="7A95C303" w14:textId="77777777" w:rsidR="001D6EAF" w:rsidRDefault="001D6EAF">
      <w:pPr>
        <w:spacing w:line="360" w:lineRule="auto"/>
        <w:ind w:firstLine="1133"/>
        <w:jc w:val="both"/>
        <w:rPr>
          <w:rFonts w:ascii="Times New Roman" w:eastAsia="Times New Roman" w:hAnsi="Times New Roman" w:cs="Times New Roman"/>
          <w:sz w:val="24"/>
          <w:szCs w:val="24"/>
        </w:rPr>
      </w:pPr>
    </w:p>
    <w:p w14:paraId="5E675468" w14:textId="77777777" w:rsidR="001D6EAF" w:rsidRDefault="00000000">
      <w:pPr>
        <w:pStyle w:val="Ttulo2"/>
        <w:ind w:right="0"/>
      </w:pPr>
      <w:bookmarkStart w:id="9" w:name="_3rmfaldkoick" w:colFirst="0" w:colLast="0"/>
      <w:bookmarkEnd w:id="9"/>
      <w:r>
        <w:t>4.2 Efetividade da norma no combate à violência contra a mulher</w:t>
      </w:r>
    </w:p>
    <w:p w14:paraId="3D1DFF9C" w14:textId="77777777" w:rsidR="001D6EAF" w:rsidRDefault="001D6EAF">
      <w:pPr>
        <w:spacing w:line="360" w:lineRule="auto"/>
        <w:ind w:firstLine="1133"/>
        <w:jc w:val="both"/>
        <w:rPr>
          <w:rFonts w:ascii="Times New Roman" w:eastAsia="Times New Roman" w:hAnsi="Times New Roman" w:cs="Times New Roman"/>
          <w:b/>
          <w:bCs/>
          <w:sz w:val="24"/>
          <w:szCs w:val="24"/>
        </w:rPr>
      </w:pPr>
    </w:p>
    <w:p w14:paraId="42E3D7BE"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base nas notícias e no gráfico analisados, é notório que a autonomização desse crime não vem se mostrando eficaz na contenção da violência letal contra as mulheres, revelando-se, assim, insuficiente para alterar a realidade absurda que se presencia atualmente. Nesse sentido, o crime de feminicídio, infelizmente, permanece como uma resposta legislativa de caráter predominantemente simbólico, dissociada de políticas públicas estruturais e de mecanismos de proteção. Portanto, torna-se imprescindível voltar os olhos para essa realidade e reconhecer que o ambiente social se demonstra inseguro para as mulheres expostas à violência em qualquer ambiente, seja ele privado ou público, à noite ou à luz do dia, evidenciando que o Direito Penal Brasileiro, isoladamente, não consegue assegurar a proteção.</w:t>
      </w:r>
    </w:p>
    <w:p w14:paraId="39D86638"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falar sobre o caráter simbólico e o simbolismo da lei, caracteriza-se como um instrumento de resposta tanto política quanto social imediata, voltada aqui mais à produção de uma "sensação de segurança"; porém, não é uma medida efetivada na redução, já que não produz a segurança de forma concreta.</w:t>
      </w:r>
    </w:p>
    <w:p w14:paraId="3DD65626"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 acordo com Thaís de Souza Lima Oliveira (2023, p. 2), é deveras comum, na sociedade brasileira, a edição de textos legais que se prestam primariamente a atender finalidades políticas, relegando a um segundo plano a função normativo-jurídica, configurando as chamadas legislações simbólicas. Ao observar os números, percebe-se que o positivismo da autonomização é meramente visível no papel, ao contrário do que acontece na prática, julgando pelo aumento dos casos.</w:t>
      </w:r>
    </w:p>
    <w:p w14:paraId="62B3C78B" w14:textId="77777777" w:rsidR="001D6EAF" w:rsidRDefault="001D6EAF">
      <w:pPr>
        <w:spacing w:line="240" w:lineRule="auto"/>
        <w:ind w:left="2267"/>
        <w:jc w:val="both"/>
        <w:rPr>
          <w:rFonts w:ascii="Times New Roman" w:eastAsia="Times New Roman" w:hAnsi="Times New Roman" w:cs="Times New Roman"/>
          <w:sz w:val="20"/>
          <w:szCs w:val="20"/>
        </w:rPr>
      </w:pPr>
    </w:p>
    <w:p w14:paraId="25FB143C"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Eugenio </w:t>
      </w:r>
      <w:proofErr w:type="spellStart"/>
      <w:r>
        <w:rPr>
          <w:rFonts w:ascii="Times New Roman" w:eastAsia="Times New Roman" w:hAnsi="Times New Roman" w:cs="Times New Roman"/>
          <w:sz w:val="24"/>
          <w:szCs w:val="24"/>
        </w:rPr>
        <w:t>Raúl</w:t>
      </w:r>
      <w:proofErr w:type="spellEnd"/>
      <w:r>
        <w:rPr>
          <w:rFonts w:ascii="Times New Roman" w:eastAsia="Times New Roman" w:hAnsi="Times New Roman" w:cs="Times New Roman"/>
          <w:sz w:val="24"/>
          <w:szCs w:val="24"/>
        </w:rPr>
        <w:t xml:space="preserve"> Zaffaroni, o Direito Penal simbólico trata-se da criação de normas penais desprovidas de eficácia prática, cuja função principal é transmitir à sociedade uma noção de que o Estado está reagindo a certos problemas, ainda que sem enfrentar suas causas estruturais mais profundas. Nesse contexto, apesar do esforço discursivo na proteção da </w:t>
      </w:r>
      <w:r>
        <w:rPr>
          <w:rFonts w:ascii="Times New Roman" w:eastAsia="Times New Roman" w:hAnsi="Times New Roman" w:cs="Times New Roman"/>
          <w:sz w:val="24"/>
          <w:szCs w:val="24"/>
        </w:rPr>
        <w:lastRenderedPageBreak/>
        <w:t>mulher, os índices de violência letal seguem em crescimento, mostrando assim o descompasso entre a resposta legislativa e a realidade social, o que permite afirmar que a autonomização desse tipo penal faz jus ao caráter simbólico da lei penal.</w:t>
      </w:r>
    </w:p>
    <w:p w14:paraId="2C441B7D"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Enfrentar o feminicídio no Brasil exige mais do que leis severas e aumento de penas. Exige capilaridade territorial, monitoramento eficaz das medidas protetivas, investimento contínuo e compromisso institucional permanente (Senado Federal, 2026).</w:t>
      </w:r>
    </w:p>
    <w:p w14:paraId="4BDF4E25" w14:textId="77777777" w:rsidR="001D6EAF" w:rsidRDefault="001D6EAF">
      <w:pPr>
        <w:spacing w:line="360" w:lineRule="auto"/>
        <w:ind w:firstLine="1133"/>
        <w:jc w:val="both"/>
        <w:rPr>
          <w:rFonts w:ascii="Times New Roman" w:eastAsia="Times New Roman" w:hAnsi="Times New Roman" w:cs="Times New Roman"/>
          <w:sz w:val="24"/>
          <w:szCs w:val="24"/>
        </w:rPr>
      </w:pPr>
    </w:p>
    <w:p w14:paraId="50C5C313" w14:textId="77777777" w:rsidR="001D6EAF" w:rsidRDefault="00000000">
      <w:pPr>
        <w:pStyle w:val="Ttulo1"/>
        <w:ind w:right="0"/>
      </w:pPr>
      <w:bookmarkStart w:id="10" w:name="_3xqyzbk14prx" w:colFirst="0" w:colLast="0"/>
      <w:bookmarkEnd w:id="10"/>
      <w:r>
        <w:t xml:space="preserve">5 POLÍTICAS PÚBLICAS COMO INSTRUMENTOS ESTRATÉGICOS E PREVENTIVOS DE ENFRENTAMENTO AO FEMINICÍDIO </w:t>
      </w:r>
    </w:p>
    <w:p w14:paraId="4DD97D61" w14:textId="77777777" w:rsidR="001D6EAF" w:rsidRDefault="001D6EAF">
      <w:pPr>
        <w:spacing w:line="360" w:lineRule="auto"/>
        <w:ind w:firstLine="1133"/>
        <w:jc w:val="both"/>
        <w:rPr>
          <w:rFonts w:ascii="Times New Roman" w:eastAsia="Times New Roman" w:hAnsi="Times New Roman" w:cs="Times New Roman"/>
          <w:b/>
          <w:bCs/>
          <w:sz w:val="24"/>
          <w:szCs w:val="24"/>
        </w:rPr>
      </w:pPr>
    </w:p>
    <w:p w14:paraId="2BABC509"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expressão "políticas públicas" é extremamente difícil de conceituar. Na busca de definições, a certeza é que as políticas sociais precisam ser vistas em suas particularidades. Porém, é possível afirmar que elas são aquele "[...] conjunto de expectativas dirigidas ao poder público a partir de conceitos, sentidos, ideologias e entendimentos distintos, mas nem sempre explicitados [...]" (CHRISPINO; DUSI, 2016, p. 9).</w:t>
      </w:r>
    </w:p>
    <w:p w14:paraId="77B2B917" w14:textId="77777777" w:rsidR="001D6EAF" w:rsidRDefault="001D6EAF">
      <w:pPr>
        <w:spacing w:line="240" w:lineRule="auto"/>
        <w:ind w:left="2267"/>
        <w:jc w:val="both"/>
        <w:rPr>
          <w:rFonts w:ascii="Times New Roman" w:eastAsia="Times New Roman" w:hAnsi="Times New Roman" w:cs="Times New Roman"/>
          <w:sz w:val="20"/>
          <w:szCs w:val="20"/>
        </w:rPr>
      </w:pPr>
    </w:p>
    <w:p w14:paraId="1E73AADB"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voltamos os olhos para o feminicídio, percebe-se que o direito à justiça deve ser uma ferramenta ativa e soberana, protegendo as mulheres e garantindo que os criminosos sejam responsabilizados de maneira eficaz. Logo, para que o direito cumpra de fato o seu papel promovendo a justiça, é preciso superar problemas estruturais que ainda comprometem sua efetividade. A aplicação de penas mais agravantes, sozinha, limita a atuação para a resolução do problema. A atuação não deve ser exclusivamente penal, mas sim um conjunto de fatores que, ao se integrarem, demonstram resultados na prática social.</w:t>
      </w:r>
    </w:p>
    <w:p w14:paraId="566E6501"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violência, na concepção de Hannah Arendt é um fenômeno pré-político, entretanto, suas expressões se relacionam com a deterioração da política e com a ausência de ação e do diálogo, expressões efetivas de poder. A violência contrapõe-se ao poder: de forma que onde domina um absolutamente, o outro está ausente. Hannah Arendt, reluta em associar violência com o poder ou com o Estado, “o poder é de fato a essência de todo o governo, mas não a violência”(ARENDT, 1994, p. 40 apud SOARES, 2016).</w:t>
      </w:r>
    </w:p>
    <w:p w14:paraId="6425C236" w14:textId="77777777" w:rsidR="001D6EAF" w:rsidRDefault="001D6EAF">
      <w:pPr>
        <w:spacing w:line="240" w:lineRule="auto"/>
        <w:ind w:left="2267"/>
        <w:jc w:val="both"/>
        <w:rPr>
          <w:rFonts w:ascii="Times New Roman" w:eastAsia="Times New Roman" w:hAnsi="Times New Roman" w:cs="Times New Roman"/>
          <w:sz w:val="20"/>
          <w:szCs w:val="20"/>
        </w:rPr>
      </w:pPr>
    </w:p>
    <w:p w14:paraId="17986C35"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 citação acima escancara a crise do aumento nos casos de feminicídio ao tratar da falta de poder e do excesso de violência, reforçando que é indispensável repensar as estruturas por trás do crime, englobando fatores sociais, políticos e jurídicos. Diante do exposto, é preciso adotar medidas para a efetiva resolução, visto que o enfrentamento do crime de feminicídio vai além da esfera jurídico-penal. É necessária a integração de múltiplos fatores para alcançar a redução dos casos e construir uma sociedade mais segura para as mulheres.</w:t>
      </w:r>
    </w:p>
    <w:p w14:paraId="4D7BF7E2" w14:textId="77777777" w:rsidR="001D6EAF" w:rsidRDefault="001D6EAF">
      <w:pPr>
        <w:spacing w:line="360" w:lineRule="auto"/>
        <w:ind w:firstLine="1133"/>
        <w:jc w:val="both"/>
        <w:rPr>
          <w:rFonts w:ascii="Times New Roman" w:eastAsia="Times New Roman" w:hAnsi="Times New Roman" w:cs="Times New Roman"/>
          <w:sz w:val="24"/>
          <w:szCs w:val="24"/>
        </w:rPr>
      </w:pPr>
    </w:p>
    <w:p w14:paraId="27E16FA5" w14:textId="77777777" w:rsidR="001D6EAF" w:rsidRDefault="00000000">
      <w:pPr>
        <w:pStyle w:val="Ttulo2"/>
        <w:ind w:right="0"/>
      </w:pPr>
      <w:bookmarkStart w:id="11" w:name="_q38926ibehs1" w:colFirst="0" w:colLast="0"/>
      <w:bookmarkEnd w:id="11"/>
      <w:r>
        <w:lastRenderedPageBreak/>
        <w:t>5.1 Das medidas</w:t>
      </w:r>
    </w:p>
    <w:p w14:paraId="0E84DEEB" w14:textId="77777777" w:rsidR="001D6EAF" w:rsidRDefault="001D6EAF">
      <w:pPr>
        <w:spacing w:line="360" w:lineRule="auto"/>
        <w:ind w:firstLine="1133"/>
        <w:jc w:val="both"/>
        <w:rPr>
          <w:rFonts w:ascii="Times New Roman" w:eastAsia="Times New Roman" w:hAnsi="Times New Roman" w:cs="Times New Roman"/>
          <w:b/>
          <w:bCs/>
          <w:sz w:val="24"/>
          <w:szCs w:val="24"/>
        </w:rPr>
      </w:pPr>
    </w:p>
    <w:p w14:paraId="1A6885E9"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a Lei nº 14.541/2023, as Delegacias Especializadas de Atendimento à Mulher (</w:t>
      </w:r>
      <w:proofErr w:type="spellStart"/>
      <w:r>
        <w:rPr>
          <w:rFonts w:ascii="Times New Roman" w:eastAsia="Times New Roman" w:hAnsi="Times New Roman" w:cs="Times New Roman"/>
          <w:sz w:val="24"/>
          <w:szCs w:val="24"/>
        </w:rPr>
        <w:t>Deam</w:t>
      </w:r>
      <w:proofErr w:type="spellEnd"/>
      <w:r>
        <w:rPr>
          <w:rFonts w:ascii="Times New Roman" w:eastAsia="Times New Roman" w:hAnsi="Times New Roman" w:cs="Times New Roman"/>
          <w:sz w:val="24"/>
          <w:szCs w:val="24"/>
        </w:rPr>
        <w:t xml:space="preserve">) têm como finalidade o atendimento e o funcionamento ininterruptos, inclusive em feriados e finais de semana. Elas desempenham um papel crucial no enfrentamento à violência de gênero; no entanto, a ausência dessas unidades em diversas localidades compromete a efetividade dessa política. Isso se revela ainda mais preocupante diante do fato de que as cidades pequenas também registram casos de feminicídio. De acordo com o portal Poder360 (2026), o Brasil possui menos de uma </w:t>
      </w:r>
      <w:proofErr w:type="spellStart"/>
      <w:r>
        <w:rPr>
          <w:rFonts w:ascii="Times New Roman" w:eastAsia="Times New Roman" w:hAnsi="Times New Roman" w:cs="Times New Roman"/>
          <w:sz w:val="24"/>
          <w:szCs w:val="24"/>
        </w:rPr>
        <w:t>Deam</w:t>
      </w:r>
      <w:proofErr w:type="spellEnd"/>
      <w:r>
        <w:rPr>
          <w:rFonts w:ascii="Times New Roman" w:eastAsia="Times New Roman" w:hAnsi="Times New Roman" w:cs="Times New Roman"/>
          <w:sz w:val="24"/>
          <w:szCs w:val="24"/>
        </w:rPr>
        <w:t xml:space="preserve"> para cada 100 mil mulheres. Nesse sentido, a ampliação e a implantação dessas delegacias mostram-se medidas viáveis a serem adotadas, proporcionando maior acesso à proteção da mulher. Conforme aponta o Diário da Manhã (2026), o problema se intensifica em razão da baixa presença da rede especializada nesses territórios, sendo reduzido o número de municípios com delegacias de atendimento à mulher e casas-abrigo.</w:t>
      </w:r>
    </w:p>
    <w:p w14:paraId="36E5F963"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Lei nº 14.674/2023, em seu artigo 1º, estabelece que o art. 23 da Lei nº 11.340 passa a vigorar acrescido do inciso VI, que dispõe sobre o auxílio-aluguel a ser concedido pelo juiz à ofendida vítima de violência doméstica afastada do lar.</w:t>
      </w:r>
    </w:p>
    <w:p w14:paraId="2F9D1838"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 conceder à ofendida auxílio-aluguel, com valor fixado em função de sua situação de vulnerabilidade social e econômica, por período não superior a 6 (seis) meses.</w:t>
      </w:r>
    </w:p>
    <w:p w14:paraId="38B6DA3C" w14:textId="77777777" w:rsidR="001D6EAF" w:rsidRDefault="001D6EAF">
      <w:pPr>
        <w:spacing w:line="240" w:lineRule="auto"/>
        <w:ind w:left="2267"/>
        <w:jc w:val="both"/>
        <w:rPr>
          <w:rFonts w:ascii="Times New Roman" w:eastAsia="Times New Roman" w:hAnsi="Times New Roman" w:cs="Times New Roman"/>
          <w:sz w:val="20"/>
          <w:szCs w:val="20"/>
        </w:rPr>
      </w:pPr>
    </w:p>
    <w:p w14:paraId="59DF0AFC"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inúmeros casos de violência doméstica, a vítima é obrigada a conviver diariamente com o agressor, colocando em perigo sua vida e seu bem-estar, tanto físico quanto emocional. Assim, é fundamental proporcionar à vítima uma opção segura, permitindo-lhe afastar-se do agressor e buscar uma nova moradia (Jacob, 2023). Contudo, na prática, percebe-se que a previsão legal não tem sido suficiente para garantir o acesso efetivo ao benefício, diante de obstáculos como a burocracia e a falta de informação. Por isso, é fundamental que o Estado adote medidas para simplificar os procedimentos, ampliar a divulgação e garantir a efetiva implementação desse direito, assegurando que ele chegue, de fato, às mulheres em situação de violência.</w:t>
      </w:r>
    </w:p>
    <w:p w14:paraId="5CB5418F"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Seguindo nessa vertente, é também relevante direcionar a atenção ao agressor. A Lei nº 13.984/2020 obriga o agressor, em caso de violência doméstica, a frequentar centros de educação e de reabilitação, além de receber acompanhamento psicossocial. Contudo, apesar da previsão legal, essa medida ainda não é aplicada de forma efetiva e tampouco apresenta resultados satisfatórios, evidenciando a necessidade de maior fiscalização, investimento e estrutura adequada para garantir sua implementação e efetividade. Conforme observa Nancy </w:t>
      </w:r>
      <w:r>
        <w:rPr>
          <w:rFonts w:ascii="Times New Roman" w:eastAsia="Times New Roman" w:hAnsi="Times New Roman" w:cs="Times New Roman"/>
          <w:sz w:val="24"/>
          <w:szCs w:val="24"/>
        </w:rPr>
        <w:lastRenderedPageBreak/>
        <w:t>Fraser (2013, apud SANTOS; ANDRADE, 2023), a efetividade das políticas públicas depende de uma transformação cultural que enfrente as normas patriarcais e a naturalização da violência, sendo necessária uma mudança nas atitudes sociais para que a violência doméstica seja reconhecida como uma violação de direitos humanos.</w:t>
      </w:r>
    </w:p>
    <w:p w14:paraId="30A0E6E3"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outras propostas de implementação podem ser discutidas, como campanhas de conscientização pública frequentes, integração de dados e monitoramento, unificando os sistemas entre Polícia e Judiciário com o objetivo de identificar mulheres em risco, visando minimizar o elevado índice de feminicídio no país.</w:t>
      </w:r>
    </w:p>
    <w:p w14:paraId="27C6676F"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Conforme destaca Leite (2025, p. 55):</w:t>
      </w:r>
    </w:p>
    <w:p w14:paraId="017AE66B" w14:textId="77777777" w:rsidR="001D6EAF" w:rsidRDefault="00000000">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Assevera-se que a violência contra as mulheres é, além de uma questão de segurança pública, um tema a ser tratado como problema urgente de saúde pública que precisa ser abordado com dados, pesquisas, evidências, programas políticos e caminhos para a prevenção da violência e apoio à salvaguarda das mulheres. Portanto, não se esgota esse debate; ele apenas se inicia, fomentando possibilidades e viabilizando estratégias para corroborar na proteção das garantias da vítima.</w:t>
      </w:r>
    </w:p>
    <w:p w14:paraId="62E64939" w14:textId="77777777" w:rsidR="001D6EAF" w:rsidRDefault="001D6EAF">
      <w:pPr>
        <w:spacing w:line="360" w:lineRule="auto"/>
        <w:ind w:firstLine="1133"/>
        <w:jc w:val="both"/>
        <w:rPr>
          <w:rFonts w:ascii="Times New Roman" w:eastAsia="Times New Roman" w:hAnsi="Times New Roman" w:cs="Times New Roman"/>
          <w:sz w:val="20"/>
          <w:szCs w:val="20"/>
        </w:rPr>
      </w:pPr>
    </w:p>
    <w:p w14:paraId="3793EBF2" w14:textId="77777777" w:rsidR="001D6EAF" w:rsidRDefault="001D6EAF">
      <w:pPr>
        <w:spacing w:line="360" w:lineRule="auto"/>
        <w:ind w:firstLine="1133"/>
        <w:jc w:val="both"/>
        <w:rPr>
          <w:rFonts w:ascii="Times New Roman" w:eastAsia="Times New Roman" w:hAnsi="Times New Roman" w:cs="Times New Roman"/>
          <w:sz w:val="20"/>
          <w:szCs w:val="20"/>
        </w:rPr>
      </w:pPr>
    </w:p>
    <w:p w14:paraId="40CF78DB" w14:textId="77777777" w:rsidR="001D6EAF" w:rsidRDefault="00000000">
      <w:pPr>
        <w:pStyle w:val="Ttulo1"/>
        <w:ind w:right="0"/>
      </w:pPr>
      <w:bookmarkStart w:id="12" w:name="_ds9hpah15jri" w:colFirst="0" w:colLast="0"/>
      <w:bookmarkEnd w:id="12"/>
      <w:r>
        <w:t>6  CONSIDERAÇÕES FINAIS</w:t>
      </w:r>
    </w:p>
    <w:p w14:paraId="725C5082" w14:textId="77777777" w:rsidR="001D6EAF" w:rsidRDefault="001D6EAF">
      <w:pPr>
        <w:spacing w:line="360" w:lineRule="auto"/>
        <w:jc w:val="both"/>
        <w:rPr>
          <w:rFonts w:ascii="Times New Roman" w:eastAsia="Times New Roman" w:hAnsi="Times New Roman" w:cs="Times New Roman"/>
          <w:b/>
          <w:bCs/>
          <w:sz w:val="24"/>
          <w:szCs w:val="24"/>
        </w:rPr>
      </w:pPr>
    </w:p>
    <w:p w14:paraId="5A897B18"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trabalho teve como propósito analisar criticamente a autonomização do crime de feminicídio no ordenamento penal brasileiro, promovida pela Lei nº 14.994/2024, com a finalidade de verificar sua efetividade no enfrentamento da violência de gênero. A partir da pesquisa realizada, foi possível constatar que a alteração legislativa, por mais que represente um avanço no ordenamento penal, tem seus efeitos limitados diante da complexidade dos índices de casos.</w:t>
      </w:r>
    </w:p>
    <w:p w14:paraId="674428E6"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primeiro ponto, verificou-se que a transformação do feminicídio em tipo penal autônomo contribuiu para maior visibilidade jurídica da violência contra a mulher, reforçando a gravidade do delito por meio do aumento de pena. Porém, em seguida, verificou-se que a inovação legislativa cumpre um papel meramente simbólico. Ao analisar os dados e a realidade social, observou-se que os índices de feminicídio permanecem elevados e crescentes, demonstrando que o endurecimento penal, por si só, não é suficiente para reduzir a incidência desse crime. Nesse caso, as hipóteses levantadas no início da pesquisa são confirmadas, no sentido de que a autonomização do feminicídio pode ser ineficaz e apenas simbólica quando não acompanhada de políticas públicas alinhadas com medidas preventivas.</w:t>
      </w:r>
    </w:p>
    <w:p w14:paraId="3CE1EFF3"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realidade demonstrada ao longo da pesquisa evidencia um cenário alarmante, no qual a violência contra a mulher permanece profundamente enraizada em fatores sociais, culturais e econômicos que não são alcançados pela simples mudança legislativa ou pelo </w:t>
      </w:r>
      <w:r>
        <w:rPr>
          <w:rFonts w:ascii="Times New Roman" w:eastAsia="Times New Roman" w:hAnsi="Times New Roman" w:cs="Times New Roman"/>
          <w:sz w:val="24"/>
          <w:szCs w:val="24"/>
        </w:rPr>
        <w:lastRenderedPageBreak/>
        <w:t>aumento de penas. Trata-se de um fenômeno estrutural, sustentado por desigualdades históricas de gênero, padrões culturais discriminatórios e pela naturalização de práticas violentas no âmbito doméstico e social. Nesse contexto, é notório que a autonomização do crime, embora represente um avanço jurídico relevante, não é suficiente para romper com a histórica insuficiência das respostas estatais no enfrentamento da violência de gênero.</w:t>
      </w:r>
    </w:p>
    <w:p w14:paraId="42BF0270"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disso, a efetividade das normas penais esbarra na fragilidade das políticas públicas de prevenção e na deficiência da rede de proteção às vítimas, especialmente para mulheres em situação de vulnerabilidade. A ausência de medidas integradas que envolvam educação, conscientização social e fortalecimento institucional contribui para a perpetuação desse ciclo de violência. Assim, percebe-se que o Direito Penal, isoladamente, possui alcance limitado, sendo incapaz de promover mudanças significativas sem o suporte de mecanismos que atuem nas causas profundas do problema.</w:t>
      </w:r>
    </w:p>
    <w:p w14:paraId="34CD4F44"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Dessa forma, é evidente que o combate ao feminicídio exige uma atuação conjunta e mais ampla de fatores, que ultrapasse o direito penal. A ausência de políticas públicas, a insuficiência de projetos de proteção à vítima, a falha na aplicação das medidas protetivas, a falta de investimentos em unidades de Delegacia Especializada da Mulher evidenciam que o problema não está centrado em um único lugar. Insistir no aumento de pena isoladamente como principal estratégia para a diminuição dos casos revela-se insuficiente, considerando a complexidade do fenômeno.</w:t>
      </w:r>
    </w:p>
    <w:p w14:paraId="4366AF9B"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Logo, conclui-se que a Lei nº 14.994/2024, embora represente um marco positivo no ordenamento penal brasileiro, não pode ser compreendida como uma solução eficaz e definitiva para o problema da violência contra a mulher. Sua relevância jurídica é inegável, sobretudo ao reforçar a visibilidade e a gravidade da conduta no âmbito penal, mas sua contribuição permanece limitada quando analisada de forma isolada. Isso porque o enfrentamento real e efetivo dessa forma de violência demanda muito mais do que a simples criação ou agravamento de tipos penais. Além disso, é imprescindível o compromisso político com a implementação de medidas preventivas, educativas e assistenciais, capazes de atuar diretamente nas raízes do problema, como a desigualdade de gênero e a cultura de violência ainda presente na sociedade.</w:t>
      </w:r>
    </w:p>
    <w:p w14:paraId="556BA739" w14:textId="77777777" w:rsidR="001D6EAF" w:rsidRDefault="00000000">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Sem esses elementos, o Direito Penal tende a permanecer exercendo um papel meramente simbólico, funcionando mais como uma resposta formal do Estado do que como um instrumento efetivo de transformação social. Dessa forma, evidencia-se que o combate à violência contra a mulher exige uma abordagem multidimensional, que ultrapasse a lógica </w:t>
      </w:r>
      <w:r>
        <w:rPr>
          <w:rFonts w:ascii="Times New Roman" w:eastAsia="Times New Roman" w:hAnsi="Times New Roman" w:cs="Times New Roman"/>
          <w:sz w:val="24"/>
          <w:szCs w:val="24"/>
        </w:rPr>
        <w:lastRenderedPageBreak/>
        <w:t>punitiva e se comprometa, de fato, com a promoção de mudanças concretas e duradouras na realidade social.</w:t>
      </w:r>
    </w:p>
    <w:p w14:paraId="1DFB0E59" w14:textId="77777777" w:rsidR="001D6EAF" w:rsidRDefault="001D6EAF">
      <w:pPr>
        <w:spacing w:line="360" w:lineRule="auto"/>
        <w:ind w:right="20" w:firstLine="720"/>
        <w:jc w:val="both"/>
        <w:rPr>
          <w:rFonts w:ascii="Times New Roman" w:eastAsia="Times New Roman" w:hAnsi="Times New Roman" w:cs="Times New Roman"/>
          <w:sz w:val="24"/>
          <w:szCs w:val="24"/>
        </w:rPr>
      </w:pPr>
    </w:p>
    <w:p w14:paraId="4362419A" w14:textId="77777777" w:rsidR="001D6EAF" w:rsidRDefault="001D6EAF">
      <w:pPr>
        <w:spacing w:line="360" w:lineRule="auto"/>
        <w:ind w:right="20" w:firstLine="720"/>
        <w:jc w:val="both"/>
        <w:rPr>
          <w:rFonts w:ascii="Times New Roman" w:eastAsia="Times New Roman" w:hAnsi="Times New Roman" w:cs="Times New Roman"/>
          <w:sz w:val="24"/>
          <w:szCs w:val="24"/>
        </w:rPr>
      </w:pPr>
    </w:p>
    <w:p w14:paraId="2B7B7F8C" w14:textId="77777777" w:rsidR="001D6EAF" w:rsidRDefault="001D6EAF">
      <w:pPr>
        <w:spacing w:line="360" w:lineRule="auto"/>
        <w:ind w:right="20" w:firstLine="720"/>
        <w:jc w:val="both"/>
        <w:rPr>
          <w:rFonts w:ascii="Times New Roman" w:eastAsia="Times New Roman" w:hAnsi="Times New Roman" w:cs="Times New Roman"/>
          <w:sz w:val="24"/>
          <w:szCs w:val="24"/>
        </w:rPr>
      </w:pPr>
    </w:p>
    <w:p w14:paraId="3BD8E617" w14:textId="77777777" w:rsidR="001D6EAF" w:rsidRDefault="001D6EAF">
      <w:pPr>
        <w:spacing w:line="360" w:lineRule="auto"/>
        <w:ind w:right="20" w:firstLine="720"/>
        <w:jc w:val="both"/>
        <w:rPr>
          <w:rFonts w:ascii="Times New Roman" w:eastAsia="Times New Roman" w:hAnsi="Times New Roman" w:cs="Times New Roman"/>
          <w:sz w:val="24"/>
          <w:szCs w:val="24"/>
        </w:rPr>
      </w:pPr>
    </w:p>
    <w:p w14:paraId="0AFFDE18" w14:textId="77777777" w:rsidR="001D6EAF" w:rsidRDefault="001D6EAF">
      <w:pPr>
        <w:spacing w:line="360" w:lineRule="auto"/>
        <w:ind w:right="20" w:firstLine="720"/>
        <w:jc w:val="both"/>
        <w:rPr>
          <w:rFonts w:ascii="Times New Roman" w:eastAsia="Times New Roman" w:hAnsi="Times New Roman" w:cs="Times New Roman"/>
          <w:sz w:val="24"/>
          <w:szCs w:val="24"/>
        </w:rPr>
      </w:pPr>
    </w:p>
    <w:p w14:paraId="14F7FB1D" w14:textId="77777777" w:rsidR="001D6EAF" w:rsidRDefault="001D6EAF">
      <w:pPr>
        <w:spacing w:line="360" w:lineRule="auto"/>
        <w:ind w:right="20" w:firstLine="720"/>
        <w:jc w:val="both"/>
        <w:rPr>
          <w:rFonts w:ascii="Times New Roman" w:eastAsia="Times New Roman" w:hAnsi="Times New Roman" w:cs="Times New Roman"/>
          <w:sz w:val="24"/>
          <w:szCs w:val="24"/>
        </w:rPr>
      </w:pPr>
    </w:p>
    <w:p w14:paraId="08694A73" w14:textId="77777777" w:rsidR="001D6EAF" w:rsidRDefault="001D6EAF">
      <w:pPr>
        <w:spacing w:line="360" w:lineRule="auto"/>
        <w:ind w:right="20" w:firstLine="720"/>
        <w:jc w:val="both"/>
        <w:rPr>
          <w:rFonts w:ascii="Times New Roman" w:eastAsia="Times New Roman" w:hAnsi="Times New Roman" w:cs="Times New Roman"/>
          <w:sz w:val="24"/>
          <w:szCs w:val="24"/>
        </w:rPr>
      </w:pPr>
    </w:p>
    <w:p w14:paraId="4A59D91F" w14:textId="77777777" w:rsidR="001D6EAF" w:rsidRDefault="001D6EAF">
      <w:pPr>
        <w:spacing w:line="360" w:lineRule="auto"/>
        <w:ind w:right="20" w:firstLine="720"/>
        <w:jc w:val="both"/>
        <w:rPr>
          <w:rFonts w:ascii="Times New Roman" w:eastAsia="Times New Roman" w:hAnsi="Times New Roman" w:cs="Times New Roman"/>
          <w:sz w:val="24"/>
          <w:szCs w:val="24"/>
        </w:rPr>
      </w:pPr>
    </w:p>
    <w:p w14:paraId="73EB4EB4" w14:textId="77777777" w:rsidR="001D6EAF" w:rsidRDefault="001D6EAF">
      <w:pPr>
        <w:spacing w:line="360" w:lineRule="auto"/>
        <w:ind w:right="20" w:firstLine="720"/>
        <w:jc w:val="both"/>
        <w:rPr>
          <w:rFonts w:ascii="Times New Roman" w:eastAsia="Times New Roman" w:hAnsi="Times New Roman" w:cs="Times New Roman"/>
          <w:sz w:val="24"/>
          <w:szCs w:val="24"/>
        </w:rPr>
      </w:pPr>
    </w:p>
    <w:p w14:paraId="2537446E" w14:textId="77777777" w:rsidR="001D6EAF" w:rsidRDefault="001D6EAF">
      <w:pPr>
        <w:spacing w:line="360" w:lineRule="auto"/>
        <w:ind w:right="20"/>
        <w:jc w:val="both"/>
        <w:rPr>
          <w:rFonts w:ascii="Times New Roman" w:eastAsia="Times New Roman" w:hAnsi="Times New Roman" w:cs="Times New Roman"/>
          <w:sz w:val="24"/>
          <w:szCs w:val="24"/>
        </w:rPr>
      </w:pPr>
    </w:p>
    <w:p w14:paraId="5448FF4F" w14:textId="77777777" w:rsidR="001D6EAF" w:rsidRDefault="001D6EAF">
      <w:pPr>
        <w:spacing w:line="360" w:lineRule="auto"/>
        <w:ind w:right="20"/>
        <w:jc w:val="both"/>
        <w:rPr>
          <w:rFonts w:ascii="Times New Roman" w:eastAsia="Times New Roman" w:hAnsi="Times New Roman" w:cs="Times New Roman"/>
          <w:sz w:val="24"/>
          <w:szCs w:val="24"/>
        </w:rPr>
      </w:pPr>
    </w:p>
    <w:p w14:paraId="0F776141" w14:textId="77777777" w:rsidR="001D6EAF" w:rsidRDefault="001D6EAF">
      <w:pPr>
        <w:spacing w:line="360" w:lineRule="auto"/>
        <w:ind w:right="20"/>
        <w:jc w:val="both"/>
        <w:rPr>
          <w:rFonts w:ascii="Times New Roman" w:eastAsia="Times New Roman" w:hAnsi="Times New Roman" w:cs="Times New Roman"/>
          <w:sz w:val="24"/>
          <w:szCs w:val="24"/>
        </w:rPr>
      </w:pPr>
    </w:p>
    <w:p w14:paraId="71DAAF23" w14:textId="77777777" w:rsidR="001D6EAF" w:rsidRDefault="001D6EAF">
      <w:pPr>
        <w:spacing w:line="360" w:lineRule="auto"/>
        <w:ind w:right="20"/>
        <w:jc w:val="both"/>
        <w:rPr>
          <w:rFonts w:ascii="Times New Roman" w:eastAsia="Times New Roman" w:hAnsi="Times New Roman" w:cs="Times New Roman"/>
          <w:sz w:val="24"/>
          <w:szCs w:val="24"/>
        </w:rPr>
      </w:pPr>
    </w:p>
    <w:p w14:paraId="6D7DB837" w14:textId="77777777" w:rsidR="001D6EAF" w:rsidRDefault="001D6EAF">
      <w:pPr>
        <w:spacing w:line="360" w:lineRule="auto"/>
        <w:ind w:right="20"/>
        <w:jc w:val="both"/>
        <w:rPr>
          <w:rFonts w:ascii="Times New Roman" w:eastAsia="Times New Roman" w:hAnsi="Times New Roman" w:cs="Times New Roman"/>
          <w:sz w:val="24"/>
          <w:szCs w:val="24"/>
        </w:rPr>
      </w:pPr>
    </w:p>
    <w:p w14:paraId="0B110268" w14:textId="77777777" w:rsidR="001D6EAF" w:rsidRDefault="001D6EAF">
      <w:pPr>
        <w:spacing w:line="360" w:lineRule="auto"/>
        <w:ind w:right="20"/>
        <w:jc w:val="both"/>
        <w:rPr>
          <w:rFonts w:ascii="Times New Roman" w:eastAsia="Times New Roman" w:hAnsi="Times New Roman" w:cs="Times New Roman"/>
          <w:sz w:val="24"/>
          <w:szCs w:val="24"/>
        </w:rPr>
      </w:pPr>
    </w:p>
    <w:p w14:paraId="2695FCF7" w14:textId="77777777" w:rsidR="001D6EAF" w:rsidRDefault="001D6EAF">
      <w:pPr>
        <w:spacing w:line="360" w:lineRule="auto"/>
        <w:ind w:right="20"/>
        <w:jc w:val="both"/>
        <w:rPr>
          <w:rFonts w:ascii="Times New Roman" w:eastAsia="Times New Roman" w:hAnsi="Times New Roman" w:cs="Times New Roman"/>
          <w:sz w:val="24"/>
          <w:szCs w:val="24"/>
        </w:rPr>
      </w:pPr>
    </w:p>
    <w:p w14:paraId="63165783" w14:textId="77777777" w:rsidR="001D6EAF" w:rsidRDefault="001D6EAF">
      <w:pPr>
        <w:spacing w:line="360" w:lineRule="auto"/>
        <w:ind w:right="20"/>
        <w:jc w:val="both"/>
        <w:rPr>
          <w:rFonts w:ascii="Times New Roman" w:eastAsia="Times New Roman" w:hAnsi="Times New Roman" w:cs="Times New Roman"/>
          <w:sz w:val="24"/>
          <w:szCs w:val="24"/>
        </w:rPr>
      </w:pPr>
    </w:p>
    <w:p w14:paraId="6B2816E0" w14:textId="77777777" w:rsidR="001D6EAF" w:rsidRDefault="001D6EAF">
      <w:pPr>
        <w:spacing w:line="360" w:lineRule="auto"/>
        <w:ind w:right="20"/>
        <w:jc w:val="both"/>
        <w:rPr>
          <w:rFonts w:ascii="Times New Roman" w:eastAsia="Times New Roman" w:hAnsi="Times New Roman" w:cs="Times New Roman"/>
          <w:sz w:val="24"/>
          <w:szCs w:val="24"/>
        </w:rPr>
      </w:pPr>
    </w:p>
    <w:p w14:paraId="7C028ADA" w14:textId="77777777" w:rsidR="001D6EAF" w:rsidRDefault="001D6EAF">
      <w:pPr>
        <w:spacing w:line="360" w:lineRule="auto"/>
        <w:ind w:right="20"/>
        <w:jc w:val="both"/>
        <w:rPr>
          <w:rFonts w:ascii="Times New Roman" w:eastAsia="Times New Roman" w:hAnsi="Times New Roman" w:cs="Times New Roman"/>
          <w:sz w:val="24"/>
          <w:szCs w:val="24"/>
        </w:rPr>
      </w:pPr>
    </w:p>
    <w:p w14:paraId="0895DA97" w14:textId="77777777" w:rsidR="001D6EAF" w:rsidRDefault="001D6EAF">
      <w:pPr>
        <w:spacing w:line="360" w:lineRule="auto"/>
        <w:ind w:right="20"/>
        <w:jc w:val="both"/>
        <w:rPr>
          <w:rFonts w:ascii="Times New Roman" w:eastAsia="Times New Roman" w:hAnsi="Times New Roman" w:cs="Times New Roman"/>
          <w:sz w:val="24"/>
          <w:szCs w:val="24"/>
        </w:rPr>
      </w:pPr>
    </w:p>
    <w:p w14:paraId="77EF7D09" w14:textId="77777777" w:rsidR="001D6EAF" w:rsidRDefault="001D6EAF">
      <w:pPr>
        <w:spacing w:line="360" w:lineRule="auto"/>
        <w:ind w:right="20"/>
        <w:jc w:val="both"/>
        <w:rPr>
          <w:rFonts w:ascii="Times New Roman" w:eastAsia="Times New Roman" w:hAnsi="Times New Roman" w:cs="Times New Roman"/>
          <w:sz w:val="24"/>
          <w:szCs w:val="24"/>
        </w:rPr>
      </w:pPr>
    </w:p>
    <w:p w14:paraId="399CCC96" w14:textId="77777777" w:rsidR="001D6EAF" w:rsidRDefault="001D6EAF">
      <w:pPr>
        <w:spacing w:line="360" w:lineRule="auto"/>
        <w:ind w:right="20"/>
        <w:jc w:val="both"/>
        <w:rPr>
          <w:rFonts w:ascii="Times New Roman" w:eastAsia="Times New Roman" w:hAnsi="Times New Roman" w:cs="Times New Roman"/>
          <w:sz w:val="24"/>
          <w:szCs w:val="24"/>
        </w:rPr>
      </w:pPr>
    </w:p>
    <w:p w14:paraId="4F617C52" w14:textId="77777777" w:rsidR="001D6EAF" w:rsidRDefault="001D6EAF">
      <w:pPr>
        <w:spacing w:line="360" w:lineRule="auto"/>
        <w:ind w:right="20"/>
        <w:jc w:val="both"/>
        <w:rPr>
          <w:rFonts w:ascii="Times New Roman" w:eastAsia="Times New Roman" w:hAnsi="Times New Roman" w:cs="Times New Roman"/>
          <w:sz w:val="24"/>
          <w:szCs w:val="24"/>
        </w:rPr>
      </w:pPr>
    </w:p>
    <w:p w14:paraId="69EB29DB" w14:textId="77777777" w:rsidR="001D6EAF" w:rsidRDefault="001D6EAF">
      <w:pPr>
        <w:spacing w:line="360" w:lineRule="auto"/>
        <w:ind w:right="20"/>
        <w:jc w:val="both"/>
        <w:rPr>
          <w:rFonts w:ascii="Times New Roman" w:eastAsia="Times New Roman" w:hAnsi="Times New Roman" w:cs="Times New Roman"/>
          <w:sz w:val="24"/>
          <w:szCs w:val="24"/>
        </w:rPr>
      </w:pPr>
    </w:p>
    <w:p w14:paraId="7DB1AF1D" w14:textId="77777777" w:rsidR="001D6EAF" w:rsidRDefault="001D6EAF">
      <w:pPr>
        <w:spacing w:line="360" w:lineRule="auto"/>
        <w:ind w:right="20"/>
        <w:jc w:val="both"/>
        <w:rPr>
          <w:rFonts w:ascii="Times New Roman" w:eastAsia="Times New Roman" w:hAnsi="Times New Roman" w:cs="Times New Roman"/>
          <w:sz w:val="24"/>
          <w:szCs w:val="24"/>
        </w:rPr>
      </w:pPr>
    </w:p>
    <w:p w14:paraId="2497F5B4" w14:textId="77777777" w:rsidR="001D6EAF" w:rsidRDefault="001D6EAF">
      <w:pPr>
        <w:spacing w:line="360" w:lineRule="auto"/>
        <w:ind w:right="20"/>
        <w:jc w:val="both"/>
        <w:rPr>
          <w:rFonts w:ascii="Times New Roman" w:eastAsia="Times New Roman" w:hAnsi="Times New Roman" w:cs="Times New Roman"/>
          <w:sz w:val="24"/>
          <w:szCs w:val="24"/>
        </w:rPr>
      </w:pPr>
    </w:p>
    <w:p w14:paraId="74B9D221" w14:textId="77777777" w:rsidR="001D6EAF" w:rsidRDefault="001D6EAF">
      <w:pPr>
        <w:spacing w:line="360" w:lineRule="auto"/>
        <w:ind w:right="20"/>
        <w:jc w:val="both"/>
        <w:rPr>
          <w:rFonts w:ascii="Times New Roman" w:eastAsia="Times New Roman" w:hAnsi="Times New Roman" w:cs="Times New Roman"/>
          <w:sz w:val="24"/>
          <w:szCs w:val="24"/>
        </w:rPr>
      </w:pPr>
    </w:p>
    <w:p w14:paraId="17BF30BB" w14:textId="77777777" w:rsidR="001D6EAF" w:rsidRDefault="001D6EAF">
      <w:pPr>
        <w:spacing w:line="360" w:lineRule="auto"/>
        <w:ind w:right="20"/>
        <w:jc w:val="both"/>
        <w:rPr>
          <w:rFonts w:ascii="Times New Roman" w:eastAsia="Times New Roman" w:hAnsi="Times New Roman" w:cs="Times New Roman"/>
          <w:sz w:val="24"/>
          <w:szCs w:val="24"/>
        </w:rPr>
      </w:pPr>
    </w:p>
    <w:p w14:paraId="1CBD2969" w14:textId="77777777" w:rsidR="001D6EAF" w:rsidRDefault="001D6EAF">
      <w:pPr>
        <w:spacing w:line="360" w:lineRule="auto"/>
        <w:ind w:right="20"/>
        <w:jc w:val="both"/>
        <w:rPr>
          <w:rFonts w:ascii="Times New Roman" w:eastAsia="Times New Roman" w:hAnsi="Times New Roman" w:cs="Times New Roman"/>
          <w:sz w:val="24"/>
          <w:szCs w:val="24"/>
        </w:rPr>
      </w:pPr>
    </w:p>
    <w:p w14:paraId="1FEA72D2" w14:textId="77777777" w:rsidR="001D6EAF" w:rsidRDefault="001D6EAF">
      <w:pPr>
        <w:spacing w:line="360" w:lineRule="auto"/>
        <w:ind w:right="20"/>
        <w:jc w:val="both"/>
        <w:rPr>
          <w:rFonts w:ascii="Times New Roman" w:eastAsia="Times New Roman" w:hAnsi="Times New Roman" w:cs="Times New Roman"/>
          <w:sz w:val="24"/>
          <w:szCs w:val="24"/>
        </w:rPr>
      </w:pPr>
    </w:p>
    <w:p w14:paraId="00439552" w14:textId="77777777" w:rsidR="001D6EAF" w:rsidRDefault="00000000">
      <w:pPr>
        <w:spacing w:line="360" w:lineRule="auto"/>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3BC412A7" w14:textId="77777777" w:rsidR="001D6EAF" w:rsidRDefault="001D6EAF">
      <w:pPr>
        <w:pStyle w:val="Ttulo1"/>
      </w:pPr>
      <w:bookmarkStart w:id="13" w:name="_rs4oaz7ecdy2" w:colFirst="0" w:colLast="0"/>
      <w:bookmarkEnd w:id="13"/>
    </w:p>
    <w:p w14:paraId="6C0C5C6B" w14:textId="77777777" w:rsidR="001D6EAF" w:rsidRDefault="00000000">
      <w:pPr>
        <w:pStyle w:val="Ttulo1"/>
        <w:spacing w:line="240" w:lineRule="auto"/>
        <w:rPr>
          <w:b w:val="0"/>
          <w:bCs w:val="0"/>
        </w:rPr>
      </w:pPr>
      <w:bookmarkStart w:id="14" w:name="_3r8ylbuibswf" w:colFirst="0" w:colLast="0"/>
      <w:bookmarkEnd w:id="14"/>
      <w:r>
        <w:rPr>
          <w:b w:val="0"/>
          <w:bCs w:val="0"/>
        </w:rPr>
        <w:t xml:space="preserve">Agência Gov. </w:t>
      </w:r>
      <w:r>
        <w:t>Agora é lei: 5 de setembro é o Dia Nacional de combate à violência contra mulheres e meninas indígenas</w:t>
      </w:r>
      <w:r>
        <w:rPr>
          <w:b w:val="0"/>
          <w:bCs w:val="0"/>
        </w:rPr>
        <w:t>. 2026. Disponível em: https://agenciagov.ebc.com.br/noticias/202604/agora-e-lei-5-de-setembro-e-o-dia-nacional-de-combate-a-violencia-contra-mulheres-e-meninas-indigenas. Acesso em: 21 abr. 2026.</w:t>
      </w:r>
    </w:p>
    <w:p w14:paraId="31427599"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Agência Senado. </w:t>
      </w:r>
      <w:r>
        <w:rPr>
          <w:rFonts w:ascii="Times New Roman" w:eastAsia="Times New Roman" w:hAnsi="Times New Roman" w:cs="Times New Roman"/>
          <w:b/>
          <w:bCs/>
          <w:sz w:val="24"/>
          <w:szCs w:val="24"/>
        </w:rPr>
        <w:t>Agressor de mulher usará tornozeleira de imediato; lei já está em vigor</w:t>
      </w:r>
      <w:r>
        <w:rPr>
          <w:rFonts w:ascii="Times New Roman" w:eastAsia="Times New Roman" w:hAnsi="Times New Roman" w:cs="Times New Roman"/>
          <w:sz w:val="24"/>
          <w:szCs w:val="24"/>
        </w:rPr>
        <w:t>. 2026. Disponível em: https://www12.senado.leg.br/noticias/materias/2026/04/10/agressor-de-mulher-usara-tornozeleira-de-imediato-lei-ja-esta-em-vigor. Acesso em: 21 abr. 2026.</w:t>
      </w:r>
    </w:p>
    <w:p w14:paraId="5DA64AD1"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w:t>
      </w:r>
      <w:r>
        <w:rPr>
          <w:rFonts w:ascii="Times New Roman" w:eastAsia="Times New Roman" w:hAnsi="Times New Roman" w:cs="Times New Roman"/>
          <w:b/>
          <w:bCs/>
          <w:sz w:val="24"/>
          <w:szCs w:val="24"/>
        </w:rPr>
        <w:t>Decreto-Lei nº 2.848, de 7 de dezembro de 1940.</w:t>
      </w:r>
      <w:r>
        <w:rPr>
          <w:rFonts w:ascii="Times New Roman" w:eastAsia="Times New Roman" w:hAnsi="Times New Roman" w:cs="Times New Roman"/>
          <w:sz w:val="24"/>
          <w:szCs w:val="24"/>
        </w:rPr>
        <w:t xml:space="preserve"> Código Penal. Disponível em: https://www.planalto.gov.br/ccivil_03/decreto-lei/del2848compilado.htm. Acesso em: 21 mar. 2026.</w:t>
      </w:r>
    </w:p>
    <w:p w14:paraId="4F9124C4"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w:t>
      </w:r>
      <w:r>
        <w:rPr>
          <w:rFonts w:ascii="Times New Roman" w:eastAsia="Times New Roman" w:hAnsi="Times New Roman" w:cs="Times New Roman"/>
          <w:b/>
          <w:bCs/>
          <w:sz w:val="24"/>
          <w:szCs w:val="24"/>
        </w:rPr>
        <w:t>Lei nº 14.674, de 14 de setembro de 2023.</w:t>
      </w:r>
      <w:r>
        <w:rPr>
          <w:rFonts w:ascii="Times New Roman" w:eastAsia="Times New Roman" w:hAnsi="Times New Roman" w:cs="Times New Roman"/>
          <w:sz w:val="24"/>
          <w:szCs w:val="24"/>
        </w:rPr>
        <w:t xml:space="preserve"> Altera a Lei nº 11.340, de 7 de agosto de 2006 (Lei Maria da Penha), para dispor sobre auxílio-aluguel à vítima de violência doméstica. Disponível em: https://www.planalto.gov.br/ccivil_03/_ato2023-2026/2023/lei/L14674.htm. Acesso em: 13 abr. 2026.</w:t>
      </w:r>
    </w:p>
    <w:p w14:paraId="0E3C622D"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w:t>
      </w:r>
      <w:r>
        <w:rPr>
          <w:rFonts w:ascii="Times New Roman" w:eastAsia="Times New Roman" w:hAnsi="Times New Roman" w:cs="Times New Roman"/>
          <w:b/>
          <w:bCs/>
          <w:sz w:val="24"/>
          <w:szCs w:val="24"/>
        </w:rPr>
        <w:t>Lei nº 14.994, de 9 de outubro de 2024</w:t>
      </w:r>
      <w:r>
        <w:rPr>
          <w:rFonts w:ascii="Times New Roman" w:eastAsia="Times New Roman" w:hAnsi="Times New Roman" w:cs="Times New Roman"/>
          <w:sz w:val="24"/>
          <w:szCs w:val="24"/>
        </w:rPr>
        <w:t>. Disponível em: https://www.planalto.gov.br/ccivil_03/_ato2023-2026/2024/Lei/L14994.htm. Acesso em: 21 abr. 2026.</w:t>
      </w:r>
    </w:p>
    <w:p w14:paraId="3D8F0C33"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w:t>
      </w:r>
      <w:r>
        <w:rPr>
          <w:rFonts w:ascii="Times New Roman" w:eastAsia="Times New Roman" w:hAnsi="Times New Roman" w:cs="Times New Roman"/>
          <w:b/>
          <w:bCs/>
          <w:sz w:val="24"/>
          <w:szCs w:val="24"/>
        </w:rPr>
        <w:t>Lei nº 15.383, de 9 de abril de 2026.</w:t>
      </w:r>
      <w:r>
        <w:rPr>
          <w:rFonts w:ascii="Times New Roman" w:eastAsia="Times New Roman" w:hAnsi="Times New Roman" w:cs="Times New Roman"/>
          <w:sz w:val="24"/>
          <w:szCs w:val="24"/>
        </w:rPr>
        <w:t xml:space="preserve"> Altera as Leis </w:t>
      </w:r>
      <w:proofErr w:type="spellStart"/>
      <w:r>
        <w:rPr>
          <w:rFonts w:ascii="Times New Roman" w:eastAsia="Times New Roman" w:hAnsi="Times New Roman" w:cs="Times New Roman"/>
          <w:sz w:val="24"/>
          <w:szCs w:val="24"/>
        </w:rPr>
        <w:t>nºs</w:t>
      </w:r>
      <w:proofErr w:type="spellEnd"/>
      <w:r>
        <w:rPr>
          <w:rFonts w:ascii="Times New Roman" w:eastAsia="Times New Roman" w:hAnsi="Times New Roman" w:cs="Times New Roman"/>
          <w:sz w:val="24"/>
          <w:szCs w:val="24"/>
        </w:rPr>
        <w:t xml:space="preserve"> 11.340, de 7 de agosto de 2006, 13.756, de 12 de dezembro de 2018, e 14.899, de 17 de junho de 2024, para estabelecer a monitoração eletrônica de agressores como medida protetiva autônoma, entre outras providências. Disponível em: https://www.planalto.gov.br/ccivil_03/_ato2023-2026/2026/lei/L15383.htm. Acesso em: 21 abr. 2026.</w:t>
      </w:r>
    </w:p>
    <w:p w14:paraId="33D3CEAE"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w:t>
      </w:r>
      <w:r>
        <w:rPr>
          <w:rFonts w:ascii="Times New Roman" w:eastAsia="Times New Roman" w:hAnsi="Times New Roman" w:cs="Times New Roman"/>
          <w:b/>
          <w:bCs/>
          <w:sz w:val="24"/>
          <w:szCs w:val="24"/>
        </w:rPr>
        <w:t xml:space="preserve">Lei nº 15.384, de 9 de abril de 2026. </w:t>
      </w:r>
      <w:r>
        <w:rPr>
          <w:rFonts w:ascii="Times New Roman" w:eastAsia="Times New Roman" w:hAnsi="Times New Roman" w:cs="Times New Roman"/>
          <w:sz w:val="24"/>
          <w:szCs w:val="24"/>
        </w:rPr>
        <w:t xml:space="preserve">Altera as Leis </w:t>
      </w:r>
      <w:proofErr w:type="spellStart"/>
      <w:r>
        <w:rPr>
          <w:rFonts w:ascii="Times New Roman" w:eastAsia="Times New Roman" w:hAnsi="Times New Roman" w:cs="Times New Roman"/>
          <w:sz w:val="24"/>
          <w:szCs w:val="24"/>
        </w:rPr>
        <w:t>nºs</w:t>
      </w:r>
      <w:proofErr w:type="spellEnd"/>
      <w:r>
        <w:rPr>
          <w:rFonts w:ascii="Times New Roman" w:eastAsia="Times New Roman" w:hAnsi="Times New Roman" w:cs="Times New Roman"/>
          <w:sz w:val="24"/>
          <w:szCs w:val="24"/>
        </w:rPr>
        <w:t xml:space="preserve"> 11.340, de 7 de agosto de 2006 (Lei Maria da Penha), 8.072, de 25 de julho de 1990 (Lei dos Crimes Hediondos), e o Decreto-Lei nº 2.848, de 7 de dezembro de 1940 (Código Penal), para prever a violência vicária entre as formas de violência doméstica e familiar, criar qualificadora do crime de homicídio e incluí-la no rol dos crimes hediondos. Disponível em: https://www.planalto.gov.br/ccivil_03/_ato2023-2026/2026/lei/L15384.htm. Acesso em: 21 abr. 2026.</w:t>
      </w:r>
    </w:p>
    <w:p w14:paraId="5FACADFE"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w:t>
      </w:r>
      <w:r>
        <w:rPr>
          <w:rFonts w:ascii="Times New Roman" w:eastAsia="Times New Roman" w:hAnsi="Times New Roman" w:cs="Times New Roman"/>
          <w:b/>
          <w:bCs/>
          <w:sz w:val="24"/>
          <w:szCs w:val="24"/>
        </w:rPr>
        <w:t>Senado Federal. Feminicídios crescem 4,7% em 2025; pequenas cidades têm maiores taxas.</w:t>
      </w:r>
      <w:r>
        <w:rPr>
          <w:rFonts w:ascii="Times New Roman" w:eastAsia="Times New Roman" w:hAnsi="Times New Roman" w:cs="Times New Roman"/>
          <w:sz w:val="24"/>
          <w:szCs w:val="24"/>
        </w:rPr>
        <w:t xml:space="preserve"> 2026. Disponível em: https://www12.senado.leg.br/institucional/procuradoria/noticias/feminicidios-crescem-4-7-em-2025-pequenas-cidades-tem-maiores-taxas. Acesso em: 21 mar. 2026.</w:t>
      </w:r>
    </w:p>
    <w:p w14:paraId="7E9BDFBB"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w:t>
      </w:r>
      <w:r>
        <w:rPr>
          <w:rFonts w:ascii="Times New Roman" w:eastAsia="Times New Roman" w:hAnsi="Times New Roman" w:cs="Times New Roman"/>
          <w:b/>
          <w:bCs/>
          <w:sz w:val="24"/>
          <w:szCs w:val="24"/>
        </w:rPr>
        <w:t>Senado Federal. Lei do feminicídio completa 10 anos. Rádio Senado, Brasília, 7 mar. 2025.</w:t>
      </w:r>
      <w:r>
        <w:rPr>
          <w:rFonts w:ascii="Times New Roman" w:eastAsia="Times New Roman" w:hAnsi="Times New Roman" w:cs="Times New Roman"/>
          <w:sz w:val="24"/>
          <w:szCs w:val="24"/>
        </w:rPr>
        <w:t xml:space="preserve"> Disponível em: https://www12.senado.leg.br/radio/1/noticia/2025/03/07/lei-do-feminicidio-completa-10-anos. Acesso em: 27 abr. 2026.</w:t>
      </w:r>
    </w:p>
    <w:p w14:paraId="3CE30FCE" w14:textId="77777777" w:rsidR="001D6EAF" w:rsidRDefault="00000000">
      <w:pPr>
        <w:spacing w:before="240" w:after="24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Chrispino</w:t>
      </w:r>
      <w:proofErr w:type="spellEnd"/>
      <w:r>
        <w:rPr>
          <w:rFonts w:ascii="Times New Roman" w:eastAsia="Times New Roman" w:hAnsi="Times New Roman" w:cs="Times New Roman"/>
          <w:sz w:val="24"/>
          <w:szCs w:val="24"/>
        </w:rPr>
        <w:t xml:space="preserve">, Álvaro; </w:t>
      </w:r>
      <w:proofErr w:type="spellStart"/>
      <w:r>
        <w:rPr>
          <w:rFonts w:ascii="Times New Roman" w:eastAsia="Times New Roman" w:hAnsi="Times New Roman" w:cs="Times New Roman"/>
          <w:sz w:val="24"/>
          <w:szCs w:val="24"/>
        </w:rPr>
        <w:t>Dusi</w:t>
      </w:r>
      <w:proofErr w:type="spellEnd"/>
      <w:r>
        <w:rPr>
          <w:rFonts w:ascii="Times New Roman" w:eastAsia="Times New Roman" w:hAnsi="Times New Roman" w:cs="Times New Roman"/>
          <w:sz w:val="24"/>
          <w:szCs w:val="24"/>
        </w:rPr>
        <w:t xml:space="preserve">, Maria. </w:t>
      </w:r>
      <w:r>
        <w:rPr>
          <w:rFonts w:ascii="Times New Roman" w:eastAsia="Times New Roman" w:hAnsi="Times New Roman" w:cs="Times New Roman"/>
          <w:b/>
          <w:bCs/>
          <w:sz w:val="24"/>
          <w:szCs w:val="24"/>
        </w:rPr>
        <w:t>Introdução ao estudo das políticas públicas: uma visão interdisciplinar e contextualizada.</w:t>
      </w:r>
      <w:r>
        <w:rPr>
          <w:rFonts w:ascii="Times New Roman" w:eastAsia="Times New Roman" w:hAnsi="Times New Roman" w:cs="Times New Roman"/>
          <w:sz w:val="24"/>
          <w:szCs w:val="24"/>
        </w:rPr>
        <w:t xml:space="preserve"> Rio de Janeiro: Fundação </w:t>
      </w:r>
      <w:proofErr w:type="spellStart"/>
      <w:r>
        <w:rPr>
          <w:rFonts w:ascii="Times New Roman" w:eastAsia="Times New Roman" w:hAnsi="Times New Roman" w:cs="Times New Roman"/>
          <w:sz w:val="24"/>
          <w:szCs w:val="24"/>
        </w:rPr>
        <w:t>Getulio</w:t>
      </w:r>
      <w:proofErr w:type="spellEnd"/>
      <w:r>
        <w:rPr>
          <w:rFonts w:ascii="Times New Roman" w:eastAsia="Times New Roman" w:hAnsi="Times New Roman" w:cs="Times New Roman"/>
          <w:sz w:val="24"/>
          <w:szCs w:val="24"/>
        </w:rPr>
        <w:t xml:space="preserve"> Vargas, 2016.</w:t>
      </w:r>
    </w:p>
    <w:p w14:paraId="6DE229E0"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CNN Brasil. </w:t>
      </w:r>
      <w:r>
        <w:rPr>
          <w:rFonts w:ascii="Times New Roman" w:eastAsia="Times New Roman" w:hAnsi="Times New Roman" w:cs="Times New Roman"/>
          <w:b/>
          <w:bCs/>
          <w:sz w:val="24"/>
          <w:szCs w:val="24"/>
        </w:rPr>
        <w:t>Brasil tem maior número de feminicídios dos últimos 10 anos, diz pesquisa. 2026.</w:t>
      </w:r>
      <w:r>
        <w:rPr>
          <w:rFonts w:ascii="Times New Roman" w:eastAsia="Times New Roman" w:hAnsi="Times New Roman" w:cs="Times New Roman"/>
          <w:sz w:val="24"/>
          <w:szCs w:val="24"/>
        </w:rPr>
        <w:t xml:space="preserve"> Disponível em: https://www.cnnbrasil.com.br/nacional/brasil/brasil-tem-maior-numero-de-feminicidios-dos-ultimos-10-anos-diz-pesquisa/. Acesso em: 13 abr. 2026.</w:t>
      </w:r>
    </w:p>
    <w:p w14:paraId="186D60A0"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CNN Brasil. </w:t>
      </w:r>
      <w:r>
        <w:rPr>
          <w:rFonts w:ascii="Times New Roman" w:eastAsia="Times New Roman" w:hAnsi="Times New Roman" w:cs="Times New Roman"/>
          <w:b/>
          <w:bCs/>
          <w:sz w:val="24"/>
          <w:szCs w:val="24"/>
        </w:rPr>
        <w:t>Saiba o que é “</w:t>
      </w:r>
      <w:proofErr w:type="spellStart"/>
      <w:r>
        <w:rPr>
          <w:rFonts w:ascii="Times New Roman" w:eastAsia="Times New Roman" w:hAnsi="Times New Roman" w:cs="Times New Roman"/>
          <w:b/>
          <w:bCs/>
          <w:sz w:val="24"/>
          <w:szCs w:val="24"/>
        </w:rPr>
        <w:t>vicaricídio</w:t>
      </w:r>
      <w:proofErr w:type="spellEnd"/>
      <w:r>
        <w:rPr>
          <w:rFonts w:ascii="Times New Roman" w:eastAsia="Times New Roman" w:hAnsi="Times New Roman" w:cs="Times New Roman"/>
          <w:b/>
          <w:bCs/>
          <w:sz w:val="24"/>
          <w:szCs w:val="24"/>
        </w:rPr>
        <w:t>”, crime que prevê até 40 anos de prisão.</w:t>
      </w:r>
      <w:r>
        <w:rPr>
          <w:rFonts w:ascii="Times New Roman" w:eastAsia="Times New Roman" w:hAnsi="Times New Roman" w:cs="Times New Roman"/>
          <w:sz w:val="24"/>
          <w:szCs w:val="24"/>
        </w:rPr>
        <w:t xml:space="preserve"> 2026. Disponível em: https://www.cnnbrasil.com.br/nacional/brasil/saiba-o-que-e-vicaricidio-crime-que-preve-ate-40-anos-de-prisao/. Acesso em: 21 abr. 2026.</w:t>
      </w:r>
    </w:p>
    <w:p w14:paraId="3720A37B"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Diário da Manhã.</w:t>
      </w:r>
      <w:r>
        <w:rPr>
          <w:rFonts w:ascii="Times New Roman" w:eastAsia="Times New Roman" w:hAnsi="Times New Roman" w:cs="Times New Roman"/>
          <w:b/>
          <w:bCs/>
          <w:sz w:val="24"/>
          <w:szCs w:val="24"/>
        </w:rPr>
        <w:t xml:space="preserve"> 50% dos feminicídios ocorre em cidades que não têm delegacia da mulher. 2026.</w:t>
      </w:r>
      <w:r>
        <w:rPr>
          <w:rFonts w:ascii="Times New Roman" w:eastAsia="Times New Roman" w:hAnsi="Times New Roman" w:cs="Times New Roman"/>
          <w:sz w:val="24"/>
          <w:szCs w:val="24"/>
        </w:rPr>
        <w:t xml:space="preserve"> Disponível em: https://www.dm.com.br/brasil/50-dos-feminicidios-ocorre-em-cidades-que-nao-tem-delegacia-da-mulher/. Acesso em: 13 abr. 2026.</w:t>
      </w:r>
    </w:p>
    <w:p w14:paraId="7A2C78DA"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Fórum Brasileiro de Segurança Pública. </w:t>
      </w:r>
      <w:r>
        <w:rPr>
          <w:rFonts w:ascii="Times New Roman" w:eastAsia="Times New Roman" w:hAnsi="Times New Roman" w:cs="Times New Roman"/>
          <w:b/>
          <w:bCs/>
          <w:sz w:val="24"/>
          <w:szCs w:val="24"/>
        </w:rPr>
        <w:t>Retrato dos feminicídios no Brasil [livro eletrônico]</w:t>
      </w:r>
      <w:r>
        <w:rPr>
          <w:rFonts w:ascii="Times New Roman" w:eastAsia="Times New Roman" w:hAnsi="Times New Roman" w:cs="Times New Roman"/>
          <w:sz w:val="24"/>
          <w:szCs w:val="24"/>
        </w:rPr>
        <w:t>. São Paulo: FBSP, 2026. Disponível em: https://publicacoes.forumseguranca.org.br/handle/fbsp/291. Acesso em: 27 abr. 2026.</w:t>
      </w:r>
    </w:p>
    <w:p w14:paraId="172534DD"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G1. </w:t>
      </w:r>
      <w:r>
        <w:rPr>
          <w:rFonts w:ascii="Times New Roman" w:eastAsia="Times New Roman" w:hAnsi="Times New Roman" w:cs="Times New Roman"/>
          <w:b/>
          <w:bCs/>
          <w:sz w:val="24"/>
          <w:szCs w:val="24"/>
        </w:rPr>
        <w:t>Brasil registra recorde histórico de feminicídios em 2025; quatro mulheres são assassinadas por dia no país. 2026.</w:t>
      </w:r>
      <w:r>
        <w:rPr>
          <w:rFonts w:ascii="Times New Roman" w:eastAsia="Times New Roman" w:hAnsi="Times New Roman" w:cs="Times New Roman"/>
          <w:sz w:val="24"/>
          <w:szCs w:val="24"/>
        </w:rPr>
        <w:t xml:space="preserve"> Disponível em: https://g1.globo.com/politica/noticia/2026/01/20/brasil-registra-recorde-historicos-de-feminicidios-em-2025-quatro-mulheres-sao-assassinadas-por-dia-no-pais.ghtml. Acesso em: 13 abr. 2026.</w:t>
      </w:r>
    </w:p>
    <w:p w14:paraId="0969CAE5"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Jacob, Maisa Medeiros. </w:t>
      </w:r>
      <w:r>
        <w:rPr>
          <w:rFonts w:ascii="Times New Roman" w:eastAsia="Times New Roman" w:hAnsi="Times New Roman" w:cs="Times New Roman"/>
          <w:b/>
          <w:bCs/>
          <w:sz w:val="24"/>
          <w:szCs w:val="24"/>
        </w:rPr>
        <w:t>Lei Maria da Penha e o auxílio aluguel às vítimas de violência doméstica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Jusbrasil</w:t>
      </w:r>
      <w:proofErr w:type="spellEnd"/>
      <w:r>
        <w:rPr>
          <w:rFonts w:ascii="Times New Roman" w:eastAsia="Times New Roman" w:hAnsi="Times New Roman" w:cs="Times New Roman"/>
          <w:sz w:val="24"/>
          <w:szCs w:val="24"/>
        </w:rPr>
        <w:t>, 2023. Disponível em: https://www.jusbrasil.com.br/artigos/lei-maria-da-penha-e-o-auxilio-aluguel-as-vitimas-de-violencia-domestica/1973293219. Acesso em: 13 abr. 2026.</w:t>
      </w:r>
    </w:p>
    <w:p w14:paraId="3A99670B" w14:textId="77777777" w:rsidR="001D6EAF" w:rsidRDefault="00000000">
      <w:pPr>
        <w:spacing w:before="240" w:after="24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Jurismente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Feminicídio: entenda a Lei 13.104/2015 e suas aplicações</w:t>
      </w:r>
      <w:r>
        <w:rPr>
          <w:rFonts w:ascii="Times New Roman" w:eastAsia="Times New Roman" w:hAnsi="Times New Roman" w:cs="Times New Roman"/>
          <w:sz w:val="24"/>
          <w:szCs w:val="24"/>
        </w:rPr>
        <w:t>. Disponível em: https://jurismente.com.br/feminicidio-entenda-a-lei-13-104-2015-e-suas-aplicacoes/. Acesso em: 13 abr. 2026.</w:t>
      </w:r>
    </w:p>
    <w:p w14:paraId="2A12DF26"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Leite, Lilian Cunha da S. </w:t>
      </w:r>
      <w:r>
        <w:rPr>
          <w:rFonts w:ascii="Times New Roman" w:eastAsia="Times New Roman" w:hAnsi="Times New Roman" w:cs="Times New Roman"/>
          <w:b/>
          <w:bCs/>
          <w:sz w:val="24"/>
          <w:szCs w:val="24"/>
        </w:rPr>
        <w:t>Violência doméstica: percursos e percalços da violência doméstica velada da pandemia até a atualidade.</w:t>
      </w:r>
      <w:r>
        <w:rPr>
          <w:rFonts w:ascii="Times New Roman" w:eastAsia="Times New Roman" w:hAnsi="Times New Roman" w:cs="Times New Roman"/>
          <w:sz w:val="24"/>
          <w:szCs w:val="24"/>
        </w:rPr>
        <w:t xml:space="preserve"> Rio de Janeiro: </w:t>
      </w:r>
      <w:proofErr w:type="spellStart"/>
      <w:r>
        <w:rPr>
          <w:rFonts w:ascii="Times New Roman" w:eastAsia="Times New Roman" w:hAnsi="Times New Roman" w:cs="Times New Roman"/>
          <w:sz w:val="24"/>
          <w:szCs w:val="24"/>
        </w:rPr>
        <w:t>Thieme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Revinter</w:t>
      </w:r>
      <w:proofErr w:type="spellEnd"/>
      <w:r>
        <w:rPr>
          <w:rFonts w:ascii="Times New Roman" w:eastAsia="Times New Roman" w:hAnsi="Times New Roman" w:cs="Times New Roman"/>
          <w:sz w:val="24"/>
          <w:szCs w:val="24"/>
        </w:rPr>
        <w:t>, 2025. E-book. Disponível em: https://app.minhabiblioteca.com.br/reader/books/9786555723892/. Acesso em: 22 mar. 2026.</w:t>
      </w:r>
    </w:p>
    <w:p w14:paraId="31077997"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Mendes, Pedro Emanuel. </w:t>
      </w:r>
      <w:r>
        <w:rPr>
          <w:rFonts w:ascii="Times New Roman" w:eastAsia="Times New Roman" w:hAnsi="Times New Roman" w:cs="Times New Roman"/>
          <w:b/>
          <w:bCs/>
          <w:sz w:val="24"/>
          <w:szCs w:val="24"/>
        </w:rPr>
        <w:t>Relações internacionais, realismo e análise da política externa (APE): contextualizando a invenção da APE.</w:t>
      </w:r>
      <w:r>
        <w:rPr>
          <w:rFonts w:ascii="Times New Roman" w:eastAsia="Times New Roman" w:hAnsi="Times New Roman" w:cs="Times New Roman"/>
          <w:sz w:val="24"/>
          <w:szCs w:val="24"/>
        </w:rPr>
        <w:t xml:space="preserve"> Estudos Internacionais, Belo Horizonte, v. 8, n. 1, p. 64–88, abr. 2020. Disponível em: https://periodicos.pucminas.br/estudosinternacionais/article/download/23107/16553. Acesso em: 27 abr. 2026.</w:t>
      </w:r>
    </w:p>
    <w:p w14:paraId="06D065F5"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Migalhas. </w:t>
      </w:r>
      <w:r>
        <w:rPr>
          <w:rFonts w:ascii="Times New Roman" w:eastAsia="Times New Roman" w:hAnsi="Times New Roman" w:cs="Times New Roman"/>
          <w:b/>
          <w:bCs/>
          <w:sz w:val="24"/>
          <w:szCs w:val="24"/>
        </w:rPr>
        <w:t>Entenda a violência vicária, quando filhos são usados contra mães.</w:t>
      </w:r>
      <w:r>
        <w:rPr>
          <w:rFonts w:ascii="Times New Roman" w:eastAsia="Times New Roman" w:hAnsi="Times New Roman" w:cs="Times New Roman"/>
          <w:sz w:val="24"/>
          <w:szCs w:val="24"/>
        </w:rPr>
        <w:t xml:space="preserve"> 2026. Disponível em: https://www.migalhas.com.br/quentes/450799/entenda-a-violencia-vicaria-quando-filhos-sao-usados-contra-maes. Acesso em: 21 abr. 2026.</w:t>
      </w:r>
    </w:p>
    <w:p w14:paraId="03E42227"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Nucci, Guilherme de Souza. </w:t>
      </w:r>
      <w:r>
        <w:rPr>
          <w:rFonts w:ascii="Times New Roman" w:eastAsia="Times New Roman" w:hAnsi="Times New Roman" w:cs="Times New Roman"/>
          <w:b/>
          <w:bCs/>
          <w:sz w:val="24"/>
          <w:szCs w:val="24"/>
        </w:rPr>
        <w:t>Curso de direito penal</w:t>
      </w:r>
      <w:r>
        <w:rPr>
          <w:rFonts w:ascii="Times New Roman" w:eastAsia="Times New Roman" w:hAnsi="Times New Roman" w:cs="Times New Roman"/>
          <w:i/>
          <w:iCs/>
          <w:sz w:val="24"/>
          <w:szCs w:val="24"/>
        </w:rPr>
        <w:t>: volume 2</w:t>
      </w:r>
      <w:r>
        <w:rPr>
          <w:rFonts w:ascii="Times New Roman" w:eastAsia="Times New Roman" w:hAnsi="Times New Roman" w:cs="Times New Roman"/>
          <w:sz w:val="24"/>
          <w:szCs w:val="24"/>
        </w:rPr>
        <w:t>. 10. ed. Rio de Janeiro: Forense, 2026. E-book. Disponível em: https://app.minhabiblioteca.com.br/reader/books/9788530999414/. Acesso em: 22 mar. 2026.</w:t>
      </w:r>
    </w:p>
    <w:p w14:paraId="61FEE3D8"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Oliveira, Marcela F. S. </w:t>
      </w:r>
      <w:r>
        <w:rPr>
          <w:rFonts w:ascii="Times New Roman" w:eastAsia="Times New Roman" w:hAnsi="Times New Roman" w:cs="Times New Roman"/>
          <w:b/>
          <w:bCs/>
          <w:sz w:val="24"/>
          <w:szCs w:val="24"/>
        </w:rPr>
        <w:t xml:space="preserve">A origem do feminicídio. </w:t>
      </w:r>
      <w:proofErr w:type="spellStart"/>
      <w:r>
        <w:rPr>
          <w:rFonts w:ascii="Times New Roman" w:eastAsia="Times New Roman" w:hAnsi="Times New Roman" w:cs="Times New Roman"/>
          <w:b/>
          <w:bCs/>
          <w:sz w:val="24"/>
          <w:szCs w:val="24"/>
        </w:rPr>
        <w:t>Jusbrasil</w:t>
      </w:r>
      <w:proofErr w:type="spellEnd"/>
      <w:r>
        <w:rPr>
          <w:rFonts w:ascii="Times New Roman" w:eastAsia="Times New Roman" w:hAnsi="Times New Roman" w:cs="Times New Roman"/>
          <w:b/>
          <w:bCs/>
          <w:sz w:val="24"/>
          <w:szCs w:val="24"/>
        </w:rPr>
        <w:t>, 2020</w:t>
      </w:r>
      <w:r>
        <w:rPr>
          <w:rFonts w:ascii="Times New Roman" w:eastAsia="Times New Roman" w:hAnsi="Times New Roman" w:cs="Times New Roman"/>
          <w:sz w:val="24"/>
          <w:szCs w:val="24"/>
        </w:rPr>
        <w:t>. Disponível em: https://www.jusbrasil.com.br/artigos/a-origem-do-feminicidio/1767201109. Acesso em: 13 abr. 2026.</w:t>
      </w:r>
    </w:p>
    <w:p w14:paraId="0A77BFB8"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Oliveira, Thaís de Souza Lima. </w:t>
      </w:r>
      <w:r>
        <w:rPr>
          <w:rFonts w:ascii="Times New Roman" w:eastAsia="Times New Roman" w:hAnsi="Times New Roman" w:cs="Times New Roman"/>
          <w:b/>
          <w:bCs/>
          <w:sz w:val="24"/>
          <w:szCs w:val="24"/>
        </w:rPr>
        <w:t>A legislação simbólica à luz da (in) sinceridade dos agentes políticos.</w:t>
      </w:r>
      <w:r>
        <w:rPr>
          <w:rFonts w:ascii="Times New Roman" w:eastAsia="Times New Roman" w:hAnsi="Times New Roman" w:cs="Times New Roman"/>
          <w:sz w:val="24"/>
          <w:szCs w:val="24"/>
        </w:rPr>
        <w:t xml:space="preserve"> Disponível em: http://publicadireito.com.br/artigos/?cod=783919a58a6cea9b. Acesso em: 13 abr. 2026.</w:t>
      </w:r>
    </w:p>
    <w:p w14:paraId="2F02BF0D"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Poder360. </w:t>
      </w:r>
      <w:r>
        <w:rPr>
          <w:rFonts w:ascii="Times New Roman" w:eastAsia="Times New Roman" w:hAnsi="Times New Roman" w:cs="Times New Roman"/>
          <w:b/>
          <w:bCs/>
          <w:sz w:val="24"/>
          <w:szCs w:val="24"/>
        </w:rPr>
        <w:t>Brasil tem menos de 1 delegacia da mulher para cada 100 mil</w:t>
      </w:r>
      <w:r>
        <w:rPr>
          <w:rFonts w:ascii="Times New Roman" w:eastAsia="Times New Roman" w:hAnsi="Times New Roman" w:cs="Times New Roman"/>
          <w:sz w:val="24"/>
          <w:szCs w:val="24"/>
        </w:rPr>
        <w:t>. 2026. Disponível em: https://www.poder360.com.br/poder-seguranca-publica/brasil-tem-menos-de-1-delegacia-da-mulher-para-cada-100-mil/. Acesso em: 13 abr. 2026.</w:t>
      </w:r>
    </w:p>
    <w:p w14:paraId="17681AF6"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Anna Cavalcante. </w:t>
      </w:r>
      <w:r>
        <w:rPr>
          <w:rFonts w:ascii="Times New Roman" w:eastAsia="Times New Roman" w:hAnsi="Times New Roman" w:cs="Times New Roman"/>
          <w:b/>
          <w:bCs/>
          <w:sz w:val="24"/>
          <w:szCs w:val="24"/>
        </w:rPr>
        <w:t>Lei 14.994/2024: principais mudanças e impacto no combate à violência contra mulheres.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Jusbrasil</w:t>
      </w:r>
      <w:proofErr w:type="spellEnd"/>
      <w:r>
        <w:rPr>
          <w:rFonts w:ascii="Times New Roman" w:eastAsia="Times New Roman" w:hAnsi="Times New Roman" w:cs="Times New Roman"/>
          <w:sz w:val="24"/>
          <w:szCs w:val="24"/>
        </w:rPr>
        <w:t>, 14 out. 2024. Disponível em: https://www.jusbrasil.com.br/artigos/pensar-criminalista-lei-14994-2024-principais-mudancas-e-impacto-no-combate-a-violencia-contra-mulheres/2789242386. Acesso em: 13 abr. 2026.</w:t>
      </w:r>
    </w:p>
    <w:p w14:paraId="0FDEFC8D"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w:t>
      </w:r>
      <w:proofErr w:type="spellStart"/>
      <w:r>
        <w:rPr>
          <w:rFonts w:ascii="Times New Roman" w:eastAsia="Times New Roman" w:hAnsi="Times New Roman" w:cs="Times New Roman"/>
          <w:sz w:val="24"/>
          <w:szCs w:val="24"/>
        </w:rPr>
        <w:t>Ingridy</w:t>
      </w:r>
      <w:proofErr w:type="spellEnd"/>
      <w:r>
        <w:rPr>
          <w:rFonts w:ascii="Times New Roman" w:eastAsia="Times New Roman" w:hAnsi="Times New Roman" w:cs="Times New Roman"/>
          <w:sz w:val="24"/>
          <w:szCs w:val="24"/>
        </w:rPr>
        <w:t xml:space="preserve"> Santana; Andrade, </w:t>
      </w:r>
      <w:proofErr w:type="spellStart"/>
      <w:r>
        <w:rPr>
          <w:rFonts w:ascii="Times New Roman" w:eastAsia="Times New Roman" w:hAnsi="Times New Roman" w:cs="Times New Roman"/>
          <w:sz w:val="24"/>
          <w:szCs w:val="24"/>
        </w:rPr>
        <w:t>Radija</w:t>
      </w:r>
      <w:proofErr w:type="spellEnd"/>
      <w:r>
        <w:rPr>
          <w:rFonts w:ascii="Times New Roman" w:eastAsia="Times New Roman" w:hAnsi="Times New Roman" w:cs="Times New Roman"/>
          <w:sz w:val="24"/>
          <w:szCs w:val="24"/>
        </w:rPr>
        <w:t xml:space="preserve"> Reis de. </w:t>
      </w:r>
      <w:r>
        <w:rPr>
          <w:rFonts w:ascii="Times New Roman" w:eastAsia="Times New Roman" w:hAnsi="Times New Roman" w:cs="Times New Roman"/>
          <w:b/>
          <w:bCs/>
          <w:sz w:val="24"/>
          <w:szCs w:val="24"/>
        </w:rPr>
        <w:t>A ineficácia das medidas protetivas de urgência previstas na Lei Maria da Penha: análise da proteção das vítimas e a atuação do Estado.</w:t>
      </w:r>
      <w:r>
        <w:rPr>
          <w:rFonts w:ascii="Times New Roman" w:eastAsia="Times New Roman" w:hAnsi="Times New Roman" w:cs="Times New Roman"/>
          <w:sz w:val="24"/>
          <w:szCs w:val="24"/>
        </w:rPr>
        <w:t xml:space="preserve"> 2023. Disponível em: https://repositorio-api.animaeducacao.com.br/server/api/core/bitstreams/8a22da75-b1be-4a0f-b6b9-ad053a03b250/content. Acesso em: 13 abr. 2026.</w:t>
      </w:r>
    </w:p>
    <w:p w14:paraId="788B7500"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Guilherme </w:t>
      </w:r>
      <w:proofErr w:type="spellStart"/>
      <w:r>
        <w:rPr>
          <w:rFonts w:ascii="Times New Roman" w:eastAsia="Times New Roman" w:hAnsi="Times New Roman" w:cs="Times New Roman"/>
          <w:sz w:val="24"/>
          <w:szCs w:val="24"/>
        </w:rPr>
        <w:t>Perlin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Novas leis ampliam proteção às mulheres com monitoração eletrônica de agressores, combate à violência vicária e foco em mulheres indígenas.</w:t>
      </w:r>
      <w:r>
        <w:rPr>
          <w:rFonts w:ascii="Times New Roman" w:eastAsia="Times New Roman" w:hAnsi="Times New Roman" w:cs="Times New Roman"/>
          <w:sz w:val="24"/>
          <w:szCs w:val="24"/>
        </w:rPr>
        <w:t xml:space="preserve"> 2026. Disponível em: https://www.jusbrasil.com.br/artigos/novas-leis-ampliam-protecao-as-mulheres-com-monitoracao-eletronica-de-agressores-combate-a-violencia-vicaria-e-foco-em-mulheres-indigenas/5846670212. Acesso em: 13 abr. 2026.</w:t>
      </w:r>
    </w:p>
    <w:p w14:paraId="191481A8" w14:textId="77777777" w:rsidR="001D6EAF"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Norma. </w:t>
      </w:r>
      <w:r>
        <w:rPr>
          <w:rFonts w:ascii="Times New Roman" w:eastAsia="Times New Roman" w:hAnsi="Times New Roman" w:cs="Times New Roman"/>
          <w:b/>
          <w:bCs/>
          <w:sz w:val="24"/>
          <w:szCs w:val="24"/>
        </w:rPr>
        <w:t>Crime autônomo de feminicídio: o que mudou com a nova lei</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Jurismente</w:t>
      </w:r>
      <w:proofErr w:type="spellEnd"/>
      <w:r>
        <w:rPr>
          <w:rFonts w:ascii="Times New Roman" w:eastAsia="Times New Roman" w:hAnsi="Times New Roman" w:cs="Times New Roman"/>
          <w:sz w:val="24"/>
          <w:szCs w:val="24"/>
        </w:rPr>
        <w:t xml:space="preserve"> Aberta, 2026. Disponível em: https://jurismenteaberta.com.br/crime-autonomo-de-feminicidio-o-que-mudou-com-a-nova-le. Acesso em: 13 abr. 2026.</w:t>
      </w:r>
    </w:p>
    <w:p w14:paraId="42BEB8DD" w14:textId="77777777" w:rsidR="001D6EAF" w:rsidRDefault="00000000">
      <w:pPr>
        <w:spacing w:before="240" w:after="24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Villey</w:t>
      </w:r>
      <w:proofErr w:type="spellEnd"/>
      <w:r>
        <w:rPr>
          <w:rFonts w:ascii="Times New Roman" w:eastAsia="Times New Roman" w:hAnsi="Times New Roman" w:cs="Times New Roman"/>
          <w:sz w:val="24"/>
          <w:szCs w:val="24"/>
        </w:rPr>
        <w:t xml:space="preserve">, Michel. </w:t>
      </w:r>
      <w:r>
        <w:rPr>
          <w:rFonts w:ascii="Times New Roman" w:eastAsia="Times New Roman" w:hAnsi="Times New Roman" w:cs="Times New Roman"/>
          <w:b/>
          <w:bCs/>
          <w:sz w:val="24"/>
          <w:szCs w:val="24"/>
        </w:rPr>
        <w:t>O direito e os direitos humanos.</w:t>
      </w:r>
      <w:r>
        <w:rPr>
          <w:rFonts w:ascii="Times New Roman" w:eastAsia="Times New Roman" w:hAnsi="Times New Roman" w:cs="Times New Roman"/>
          <w:sz w:val="24"/>
          <w:szCs w:val="24"/>
        </w:rPr>
        <w:t xml:space="preserve"> São Paulo: Martins Fontes, 2007. Acesso em: 13 abr. 2026.</w:t>
      </w:r>
    </w:p>
    <w:p w14:paraId="29C6BDEB" w14:textId="77777777" w:rsidR="001D6EAF" w:rsidRDefault="001D6EAF"/>
    <w:sectPr w:rsidR="001D6EAF">
      <w:headerReference w:type="default" r:id="rId9"/>
      <w:pgSz w:w="11906" w:h="16838"/>
      <w:pgMar w:top="1700" w:right="1133" w:bottom="1133"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2352A" w14:textId="77777777" w:rsidR="003074B4" w:rsidRDefault="003074B4">
      <w:pPr>
        <w:spacing w:line="240" w:lineRule="auto"/>
      </w:pPr>
      <w:r>
        <w:separator/>
      </w:r>
    </w:p>
  </w:endnote>
  <w:endnote w:type="continuationSeparator" w:id="0">
    <w:p w14:paraId="2D5267FF" w14:textId="77777777" w:rsidR="003074B4" w:rsidRDefault="003074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76DC2EF-E8D8-430B-BAA4-70E2AFFA2754}"/>
  </w:font>
  <w:font w:name="Cambria">
    <w:panose1 w:val="02040503050406030204"/>
    <w:charset w:val="00"/>
    <w:family w:val="roman"/>
    <w:pitch w:val="variable"/>
    <w:sig w:usb0="E00006FF" w:usb1="420024FF" w:usb2="02000000" w:usb3="00000000" w:csb0="0000019F" w:csb1="00000000"/>
    <w:embedRegular r:id="rId2" w:fontKey="{8A9097BC-A67E-48EC-BB78-8E6C56F0E60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E35D9" w14:textId="77777777" w:rsidR="003074B4" w:rsidRDefault="003074B4">
      <w:pPr>
        <w:spacing w:line="240" w:lineRule="auto"/>
      </w:pPr>
      <w:r>
        <w:separator/>
      </w:r>
    </w:p>
  </w:footnote>
  <w:footnote w:type="continuationSeparator" w:id="0">
    <w:p w14:paraId="1895B565" w14:textId="77777777" w:rsidR="003074B4" w:rsidRDefault="003074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B2B2" w14:textId="77777777" w:rsidR="001D6EAF" w:rsidRDefault="001D6E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82252" w14:textId="2E1FE776" w:rsidR="001D6EAF" w:rsidRDefault="00000000">
    <w:pPr>
      <w:jc w:val="right"/>
    </w:pPr>
    <w:r>
      <w:fldChar w:fldCharType="begin"/>
    </w:r>
    <w:r>
      <w:instrText>PAGE</w:instrText>
    </w:r>
    <w:r>
      <w:fldChar w:fldCharType="separate"/>
    </w:r>
    <w:r w:rsidR="00DB7B2D">
      <w:rPr>
        <w:noProof/>
      </w:rPr>
      <w:t>6</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EAF"/>
    <w:rsid w:val="001D6EAF"/>
    <w:rsid w:val="003074B4"/>
    <w:rsid w:val="00D10EE4"/>
    <w:rsid w:val="00DB7B2D"/>
    <w:rsid w:val="00DF54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0D533"/>
  <w15:docId w15:val="{0CB660C3-AD7C-4FA5-A093-ED6EF7072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line="360" w:lineRule="auto"/>
      <w:ind w:right="20"/>
      <w:jc w:val="both"/>
      <w:outlineLvl w:val="0"/>
    </w:pPr>
    <w:rPr>
      <w:rFonts w:ascii="Times New Roman" w:eastAsia="Times New Roman" w:hAnsi="Times New Roman" w:cs="Times New Roman"/>
      <w:b/>
      <w:bCs/>
      <w:sz w:val="24"/>
      <w:szCs w:val="24"/>
    </w:rPr>
  </w:style>
  <w:style w:type="paragraph" w:styleId="Ttulo2">
    <w:name w:val="heading 2"/>
    <w:basedOn w:val="Normal"/>
    <w:next w:val="Normal"/>
    <w:uiPriority w:val="9"/>
    <w:unhideWhenUsed/>
    <w:qFormat/>
    <w:pPr>
      <w:keepNext/>
      <w:keepLines/>
      <w:spacing w:line="360" w:lineRule="auto"/>
      <w:ind w:right="20"/>
      <w:jc w:val="both"/>
      <w:outlineLvl w:val="1"/>
    </w:pPr>
    <w:rPr>
      <w:rFonts w:ascii="Times New Roman" w:eastAsia="Times New Roman" w:hAnsi="Times New Roman" w:cs="Times New Roman"/>
      <w:b/>
      <w:bCs/>
      <w:sz w:val="24"/>
      <w:szCs w:val="24"/>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22</Pages>
  <Words>6897</Words>
  <Characters>37245</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Julia Mara</cp:lastModifiedBy>
  <cp:revision>2</cp:revision>
  <dcterms:created xsi:type="dcterms:W3CDTF">2026-06-09T23:57:00Z</dcterms:created>
  <dcterms:modified xsi:type="dcterms:W3CDTF">2026-06-10T00:22:00Z</dcterms:modified>
</cp:coreProperties>
</file>